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atyr-20260806.htm"/>
      <w:bookmarkStart w:id="1" w:name="ksatyr20260806"/>
      <w:bookmarkEnd w:id="0"/>
      <w:bookmarkEnd w:id="1"/>
      <w:r>
        <w:rPr>
          <w:rFonts w:ascii="Times New Roman" w:hAnsi="Times New Roman"/>
          <w:b/>
          <w:color w:val="000000"/>
          <w:sz w:val="20"/>
        </w:rPr>
        <w:t>As filed with the U.S. Securities and Exchange Commission on August 7, 2026</w:t>
      </w:r>
      <w:r>
        <mc:AlternateContent>
          <mc:Choice Requires="wps">
            <w:drawing>
              <wp:anchor behindDoc="0" distT="0" distB="0" distL="0" distR="0" simplePos="0" locked="0" layoutInCell="1" allowOverlap="1" relativeHeight="2">
                <wp:simplePos x="0" y="0"/>
                <wp:positionH relativeFrom="page">
                  <wp:posOffset>5943600</wp:posOffset>
                </wp:positionH>
                <wp:positionV relativeFrom="page">
                  <wp:posOffset>276225</wp:posOffset>
                </wp:positionV>
                <wp:extent cx="1020445" cy="226060"/>
                <wp:effectExtent l="0" t="0" r="0" b="0"/>
                <wp:wrapNone/>
                <wp:docPr id="1" name="Frame1"/>
                <a:graphic xmlns:a="http://schemas.openxmlformats.org/drawingml/2006/main">
                  <a:graphicData uri="http://schemas.microsoft.com/office/word/2010/wordprocessingShape">
                    <wps:wsp>
                      <wps:cNvSpPr txBox="1"/>
                      <wps:spPr>
                        <a:xfrm>
                          <a:off x="0" y="0"/>
                          <a:ext cx="1020445" cy="226060"/>
                        </a:xfrm>
                        <a:prstGeom prst="rect"/>
                        <a:solidFill>
                          <a:srgbClr val="FFFFFF"/>
                        </a:solidFill>
                      </wps:spPr>
                      <wps:txbx>
                        <w:txbxContent>
                          <w:p>
                            <w:pPr>
                              <w:pStyle w:val="TextBody"/>
                              <w:bidi w:val="0"/>
                              <w:spacing w:before="0" w:after="283"/>
                              <w:jc w:val="right"/>
                              <w:rPr>
                                <w:rFonts w:ascii="Arial" w:hAnsi="Arial"/>
                                <w:b/>
                                <w:color w:val="000000"/>
                                <w:sz w:val="18"/>
                              </w:rPr>
                            </w:pPr>
                            <w:r>
                              <w:rPr>
                                <w:rFonts w:ascii="Arial" w:hAnsi="Arial"/>
                                <w:b/>
                                <w:color w:val="000000"/>
                                <w:sz w:val="18"/>
                              </w:rPr>
                              <w:t>Exhibit 5.1</w:t>
                            </w:r>
                          </w:p>
                        </w:txbxContent>
                      </wps:txbx>
                      <wps:bodyPr anchor="t" lIns="0" tIns="0" rIns="0" bIns="0">
                        <a:noAutofit/>
                      </wps:bodyPr>
                    </wps:wsp>
                  </a:graphicData>
                </a:graphic>
              </wp:anchor>
            </w:drawing>
          </mc:Choice>
          <mc:Fallback>
            <w:pict>
              <v:rect style="position:absolute;rotation:-0;width:80.35pt;height:17.8pt;mso-wrap-distance-left:0pt;mso-wrap-distance-right:0pt;mso-wrap-distance-top:0pt;mso-wrap-distance-bottom:0pt;margin-top:21.75pt;mso-position-vertical-relative:page;margin-left:468pt;mso-position-horizontal-relative:page">
                <v:textbox inset="0in,0in,0in,0in">
                  <w:txbxContent>
                    <w:p>
                      <w:pPr>
                        <w:pStyle w:val="TextBody"/>
                        <w:bidi w:val="0"/>
                        <w:spacing w:before="0" w:after="283"/>
                        <w:jc w:val="right"/>
                        <w:rPr>
                          <w:rFonts w:ascii="Arial" w:hAnsi="Arial"/>
                          <w:b/>
                          <w:color w:val="000000"/>
                          <w:sz w:val="18"/>
                        </w:rPr>
                      </w:pPr>
                      <w:r>
                        <w:rPr>
                          <w:rFonts w:ascii="Arial" w:hAnsi="Arial"/>
                          <w:b/>
                          <w:color w:val="000000"/>
                          <w:sz w:val="18"/>
                        </w:rPr>
                        <w:t>Exhibit 5.1</w:t>
                      </w:r>
                    </w:p>
                  </w:txbxContent>
                </v:textbox>
                <w10:wrap type="none"/>
              </v:rect>
            </w:pict>
          </mc:Fallback>
        </mc:AlternateContent>
      </w:r>
    </w:p>
    <w:p>
      <w:pPr>
        <w:pStyle w:val="TextBody"/>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jc w:val="left"/>
        <w:rPr/>
      </w:pPr>
      <w:r>
        <w:rPr/>
        <w:t> </w:t>
      </w:r>
    </w:p>
    <w:p>
      <w:pPr>
        <w:pStyle w:val="TextBody"/>
        <w:pBdr>
          <w:top w:val="double" w:sz="6" w:space="1" w:color="000000"/>
        </w:pBdr>
        <w:bidi w:val="0"/>
        <w:spacing w:before="0" w:after="3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0" w:after="3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0" w:after="3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210" w:after="30"/>
        <w:jc w:val="center"/>
        <w:rPr>
          <w:rFonts w:ascii="Times New Roman" w:hAnsi="Times New Roman"/>
          <w:sz w:val="20"/>
        </w:rPr>
      </w:pPr>
      <w:r>
        <w:rPr>
          <w:rFonts w:ascii="Times New Roman" w:hAnsi="Times New Roman"/>
          <w:b/>
          <w:color w:val="000000"/>
          <w:sz w:val="32"/>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2"/>
        </w:rPr>
        <w:t>UNDER</w:t>
      </w:r>
      <w:r>
        <w:rPr>
          <w:rFonts w:ascii="Times New Roman" w:hAnsi="Times New Roman"/>
          <w:color w:val="000000"/>
          <w:sz w:val="20"/>
        </w:rPr>
        <w:t xml:space="preserve"> </w:t>
      </w:r>
    </w:p>
    <w:p>
      <w:pPr>
        <w:pStyle w:val="TextBody"/>
        <w:bidi w:val="0"/>
        <w:jc w:val="center"/>
        <w:rPr>
          <w:rFonts w:ascii="Times New Roman" w:hAnsi="Times New Roman"/>
          <w:b/>
          <w:i/>
          <w:color w:val="000000"/>
          <w:sz w:val="22"/>
        </w:rPr>
      </w:pPr>
      <w:r>
        <w:rPr>
          <w:rFonts w:ascii="Times New Roman" w:hAnsi="Times New Roman"/>
          <w:b/>
          <w:i/>
          <w:color w:val="000000"/>
          <w:sz w:val="22"/>
        </w:rPr>
        <w:t>THE SECURITIES ACT OF 1933</w:t>
      </w:r>
    </w:p>
    <w:p>
      <w:pPr>
        <w:pStyle w:val="TextBody"/>
        <w:bidi w:val="0"/>
        <w:spacing w:before="120" w:after="283"/>
        <w:jc w:val="center"/>
        <w:rPr>
          <w:rFonts w:ascii="Times New Roman" w:hAnsi="Times New Roman"/>
          <w:sz w:val="20"/>
        </w:rPr>
      </w:pPr>
      <w:r>
        <w:rPr>
          <w:rFonts w:ascii="Times New Roman" w:hAnsi="Times New Roman"/>
          <w:b/>
          <w:color w:val="000000"/>
          <w:sz w:val="48"/>
        </w:rPr>
        <w:t>ATYR PHARMA,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tbl>
      <w:tblPr>
        <w:tblW w:w="3823" w:type="dxa"/>
        <w:jc w:val="left"/>
        <w:tblInd w:w="0" w:type="dxa"/>
        <w:tblLayout w:type="fixed"/>
        <w:tblCellMar>
          <w:top w:w="28" w:type="dxa"/>
          <w:left w:w="28" w:type="dxa"/>
          <w:bottom w:w="28" w:type="dxa"/>
          <w:right w:w="28" w:type="dxa"/>
        </w:tblCellMar>
      </w:tblPr>
      <w:tblGrid>
        <w:gridCol w:w="2236"/>
        <w:gridCol w:w="146"/>
        <w:gridCol w:w="144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20-3435077</w:t>
            </w:r>
          </w:p>
        </w:tc>
      </w:tr>
      <w:tr>
        <w:trPr/>
        <w:tc>
          <w:tcPr>
            <w:tcW w:w="22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0"/>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w:t>
              <w:br/>
              <w:t>Identification No.)</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10240 Sorrento Valley Road, Suite 300</w:t>
      </w:r>
    </w:p>
    <w:p>
      <w:pPr>
        <w:pStyle w:val="TextBody"/>
        <w:bidi w:val="0"/>
        <w:jc w:val="center"/>
        <w:rPr>
          <w:rFonts w:ascii="Times New Roman" w:hAnsi="Times New Roman"/>
          <w:b/>
          <w:color w:val="000000"/>
          <w:sz w:val="20"/>
        </w:rPr>
      </w:pPr>
      <w:r>
        <w:rPr>
          <w:rFonts w:ascii="Times New Roman" w:hAnsi="Times New Roman"/>
          <w:b/>
          <w:color w:val="000000"/>
          <w:sz w:val="20"/>
        </w:rPr>
        <w:t>San Diego, CA 92121</w:t>
      </w:r>
    </w:p>
    <w:p>
      <w:pPr>
        <w:pStyle w:val="TextBody"/>
        <w:bidi w:val="0"/>
        <w:jc w:val="center"/>
        <w:rPr>
          <w:rFonts w:ascii="Times New Roman" w:hAnsi="Times New Roman"/>
          <w:sz w:val="20"/>
        </w:rPr>
      </w:pPr>
      <w:r>
        <w:rPr>
          <w:rFonts w:ascii="Times New Roman" w:hAnsi="Times New Roman"/>
          <w:color w:val="000000"/>
          <w:sz w:val="16"/>
        </w:rPr>
        <w:t>(Address of Principal Executive Offices) (Zip Code)</w:t>
      </w:r>
      <w:r>
        <w:rPr>
          <w:rFonts w:ascii="Times New Roman" w:hAnsi="Times New Roman"/>
          <w:color w:val="000000"/>
          <w:sz w:val="20"/>
        </w:rPr>
        <w:t xml:space="preserve"> </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ATYR PHARMA, INC. 2015 STOCK OPTION AND INCENTIVE PLAN, AS AMENDED</w:t>
      </w:r>
    </w:p>
    <w:p>
      <w:pPr>
        <w:pStyle w:val="TextBody"/>
        <w:bidi w:val="0"/>
        <w:spacing w:before="0" w:after="30"/>
        <w:jc w:val="center"/>
        <w:rPr>
          <w:rFonts w:ascii="Times New Roman" w:hAnsi="Times New Roman"/>
          <w:color w:val="000000"/>
          <w:sz w:val="16"/>
        </w:rPr>
      </w:pPr>
      <w:r>
        <w:rPr>
          <w:rFonts w:ascii="Times New Roman" w:hAnsi="Times New Roman"/>
          <w:color w:val="000000"/>
          <w:sz w:val="16"/>
        </w:rPr>
        <w:t>(Full titles of the plans)</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Sanjay S. Shukla, M.D., M.S.</w:t>
      </w:r>
    </w:p>
    <w:p>
      <w:pPr>
        <w:pStyle w:val="TextBody"/>
        <w:bidi w:val="0"/>
        <w:jc w:val="center"/>
        <w:rPr>
          <w:rFonts w:ascii="Times New Roman" w:hAnsi="Times New Roman"/>
          <w:sz w:val="20"/>
        </w:rPr>
      </w:pPr>
      <w:r>
        <w:rPr>
          <w:rFonts w:ascii="Times New Roman" w:hAnsi="Times New Roman"/>
          <w:b/>
          <w:color w:val="000000"/>
          <w:sz w:val="20"/>
        </w:rPr>
        <w:t>President, Chief Executive Officer and Director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10240 Sorrento Valley Road, Suite 300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San Diego, CA 92121</w:t>
      </w:r>
    </w:p>
    <w:p>
      <w:pPr>
        <w:pStyle w:val="TextBody"/>
        <w:bidi w:val="0"/>
        <w:jc w:val="center"/>
        <w:rPr>
          <w:rFonts w:ascii="Times New Roman" w:hAnsi="Times New Roman"/>
          <w:b/>
          <w:color w:val="000000"/>
          <w:sz w:val="20"/>
        </w:rPr>
      </w:pPr>
      <w:r>
        <w:rPr>
          <w:rFonts w:ascii="Times New Roman" w:hAnsi="Times New Roman"/>
          <w:b/>
          <w:color w:val="000000"/>
          <w:sz w:val="20"/>
        </w:rPr>
        <w:t>(858) 731-8389</w:t>
      </w:r>
    </w:p>
    <w:p>
      <w:pPr>
        <w:pStyle w:val="TextBody"/>
        <w:bidi w:val="0"/>
        <w:jc w:val="center"/>
        <w:rPr>
          <w:rFonts w:ascii="Times New Roman" w:hAnsi="Times New Roman"/>
          <w:color w:val="000000"/>
          <w:sz w:val="16"/>
        </w:rPr>
      </w:pPr>
      <w:r>
        <w:rPr>
          <w:rFonts w:ascii="Times New Roman" w:hAnsi="Times New Roman"/>
          <w:color w:val="000000"/>
          <w:sz w:val="16"/>
        </w:rPr>
        <w:t>(Name and address of agent for service) (Telephone number, including area code, of agent for service)</w:t>
      </w:r>
    </w:p>
    <w:p>
      <w:pPr>
        <w:pStyle w:val="TextBody"/>
        <w:bidi w:val="0"/>
        <w:spacing w:before="120" w:after="283"/>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407" w:type="dxa"/>
        <w:jc w:val="left"/>
        <w:tblInd w:w="0" w:type="dxa"/>
        <w:tblLayout w:type="fixed"/>
        <w:tblCellMar>
          <w:top w:w="28" w:type="dxa"/>
          <w:left w:w="28" w:type="dxa"/>
          <w:bottom w:w="28" w:type="dxa"/>
          <w:right w:w="28" w:type="dxa"/>
        </w:tblCellMar>
      </w:tblPr>
      <w:tblGrid>
        <w:gridCol w:w="1921"/>
        <w:gridCol w:w="146"/>
        <w:gridCol w:w="37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single" w:sz="6" w:space="1" w:color="000000"/>
        </w:pBdr>
        <w:bidi w:val="0"/>
        <w:spacing w:before="0" w:after="24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This Registration Statement on Form S-8 (the “</w:t>
      </w:r>
      <w:r>
        <w:rPr>
          <w:rFonts w:ascii="Times New Roman" w:hAnsi="Times New Roman"/>
          <w:b/>
          <w:i/>
          <w:color w:val="000000"/>
          <w:sz w:val="20"/>
        </w:rPr>
        <w:t>Registration Statement</w:t>
      </w:r>
      <w:r>
        <w:rPr>
          <w:rFonts w:ascii="Times New Roman" w:hAnsi="Times New Roman"/>
          <w:color w:val="000000"/>
          <w:sz w:val="20"/>
        </w:rPr>
        <w:t>”) is being filed by aTyr Pharma, Inc. (the “</w:t>
      </w:r>
      <w:r>
        <w:rPr>
          <w:rFonts w:ascii="Times New Roman" w:hAnsi="Times New Roman"/>
          <w:b/>
          <w:i/>
          <w:color w:val="000000"/>
          <w:sz w:val="20"/>
        </w:rPr>
        <w:t>Registrant</w:t>
      </w:r>
      <w:r>
        <w:rPr>
          <w:rFonts w:ascii="Times New Roman" w:hAnsi="Times New Roman"/>
          <w:color w:val="000000"/>
          <w:sz w:val="20"/>
        </w:rPr>
        <w:t>”) for the purpose of registering 4,000,000 additional shares of the Registrant’s common stock, par value $0.001 per share (“</w:t>
      </w:r>
      <w:r>
        <w:rPr>
          <w:rFonts w:ascii="Times New Roman" w:hAnsi="Times New Roman"/>
          <w:b/>
          <w:i/>
          <w:color w:val="000000"/>
          <w:sz w:val="20"/>
        </w:rPr>
        <w:t>Common Stock</w:t>
      </w:r>
      <w:r>
        <w:rPr>
          <w:rFonts w:ascii="Times New Roman" w:hAnsi="Times New Roman"/>
          <w:color w:val="000000"/>
          <w:sz w:val="20"/>
        </w:rPr>
        <w:t>”), issuable pursuant to the Registrant’s 2015 Stock Option and Incentive Plan, as amended (the “</w:t>
      </w:r>
      <w:r>
        <w:rPr>
          <w:rFonts w:ascii="Times New Roman" w:hAnsi="Times New Roman"/>
          <w:b/>
          <w:i/>
          <w:color w:val="000000"/>
          <w:sz w:val="20"/>
        </w:rPr>
        <w:t>2015 Plan</w:t>
      </w:r>
      <w:r>
        <w:rPr>
          <w:rFonts w:ascii="Times New Roman" w:hAnsi="Times New Roman"/>
          <w:color w:val="000000"/>
          <w:sz w:val="20"/>
        </w:rPr>
        <w:t xml:space="preserve">”), pursuant to an amendment to the 2015 Plan approved by the stockholders of the Registrant on May 11, 2026.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INCORPORATION OF DOCUMENTS BY REFERENCE</w:t>
      </w:r>
    </w:p>
    <w:p>
      <w:pPr>
        <w:pStyle w:val="TextBody"/>
        <w:bidi w:val="0"/>
        <w:jc w:val="both"/>
        <w:rPr/>
      </w:pPr>
      <w:r>
        <w:rPr/>
        <w:t> </w:t>
      </w:r>
    </w:p>
    <w:p>
      <w:pPr>
        <w:pStyle w:val="TextBody"/>
        <w:bidi w:val="0"/>
        <w:jc w:val="both"/>
        <w:rPr/>
      </w:pPr>
      <w:r>
        <w:rPr>
          <w:rFonts w:ascii="Times New Roman" w:hAnsi="Times New Roman"/>
          <w:color w:val="000000"/>
          <w:sz w:val="20"/>
        </w:rPr>
        <w:t>The Registrant previously registered shares of its Common Stock for issuance under the 2015 Plan under Registration Statements on Form S-8 filed with the Securities and Exchange Commission (the “</w:t>
      </w:r>
      <w:r>
        <w:rPr>
          <w:rFonts w:ascii="Times New Roman" w:hAnsi="Times New Roman"/>
          <w:b/>
          <w:i/>
          <w:color w:val="000000"/>
          <w:sz w:val="20"/>
        </w:rPr>
        <w:t>Commission</w:t>
      </w:r>
      <w:r>
        <w:rPr>
          <w:rFonts w:ascii="Times New Roman" w:hAnsi="Times New Roman"/>
          <w:color w:val="000000"/>
          <w:sz w:val="20"/>
        </w:rPr>
        <w:t xml:space="preserve">”) on </w:t>
      </w:r>
      <w:hyperlink r:id="rId2">
        <w:r>
          <w:rPr>
            <w:rStyle w:val="InternetLink"/>
            <w:rFonts w:ascii="Times New Roman" w:hAnsi="Times New Roman"/>
            <w:color w:val="0000FF"/>
            <w:sz w:val="20"/>
            <w:u w:val="single"/>
          </w:rPr>
          <w:t>May 7, 2015</w:t>
        </w:r>
      </w:hyperlink>
      <w:r>
        <w:rPr>
          <w:rFonts w:ascii="Times New Roman" w:hAnsi="Times New Roman"/>
          <w:color w:val="000000"/>
          <w:sz w:val="20"/>
        </w:rPr>
        <w:t xml:space="preserve"> (File No. 333-203955), </w:t>
      </w:r>
      <w:hyperlink r:id="rId3">
        <w:r>
          <w:rPr>
            <w:rStyle w:val="InternetLink"/>
            <w:rFonts w:ascii="Times New Roman" w:hAnsi="Times New Roman"/>
            <w:color w:val="0000FF"/>
            <w:sz w:val="20"/>
            <w:u w:val="single"/>
          </w:rPr>
          <w:t>April 1, 2016</w:t>
        </w:r>
      </w:hyperlink>
      <w:r>
        <w:rPr>
          <w:rFonts w:ascii="Times New Roman" w:hAnsi="Times New Roman"/>
          <w:color w:val="000000"/>
          <w:sz w:val="20"/>
        </w:rPr>
        <w:t xml:space="preserve"> (File No. 333-210543), </w:t>
      </w:r>
      <w:hyperlink r:id="rId4">
        <w:r>
          <w:rPr>
            <w:rStyle w:val="InternetLink"/>
            <w:rFonts w:ascii="Times New Roman" w:hAnsi="Times New Roman"/>
            <w:color w:val="0000FF"/>
            <w:sz w:val="20"/>
            <w:u w:val="single"/>
          </w:rPr>
          <w:t>March 22, 2017</w:t>
        </w:r>
      </w:hyperlink>
      <w:r>
        <w:rPr>
          <w:rFonts w:ascii="Times New Roman" w:hAnsi="Times New Roman"/>
          <w:color w:val="000000"/>
          <w:sz w:val="20"/>
        </w:rPr>
        <w:t xml:space="preserve"> (File No. 333-216880), </w:t>
      </w:r>
      <w:hyperlink r:id="rId5">
        <w:r>
          <w:rPr>
            <w:rStyle w:val="InternetLink"/>
            <w:rFonts w:ascii="Times New Roman" w:hAnsi="Times New Roman"/>
            <w:color w:val="0000FF"/>
            <w:sz w:val="20"/>
            <w:u w:val="single"/>
          </w:rPr>
          <w:t>March 23, 2018</w:t>
        </w:r>
      </w:hyperlink>
      <w:r>
        <w:rPr>
          <w:rFonts w:ascii="Times New Roman" w:hAnsi="Times New Roman"/>
          <w:color w:val="000000"/>
          <w:sz w:val="20"/>
        </w:rPr>
        <w:t xml:space="preserve"> (File No. 333-223865), </w:t>
      </w:r>
      <w:hyperlink r:id="rId6">
        <w:r>
          <w:rPr>
            <w:rStyle w:val="InternetLink"/>
            <w:rFonts w:ascii="Times New Roman" w:hAnsi="Times New Roman"/>
            <w:color w:val="0000FF"/>
            <w:sz w:val="20"/>
            <w:u w:val="single"/>
          </w:rPr>
          <w:t>May 20, 2019</w:t>
        </w:r>
      </w:hyperlink>
      <w:r>
        <w:rPr>
          <w:rFonts w:ascii="Times New Roman" w:hAnsi="Times New Roman"/>
          <w:color w:val="000000"/>
          <w:sz w:val="20"/>
        </w:rPr>
        <w:t xml:space="preserve"> (File No. 333-231594), </w:t>
      </w:r>
      <w:hyperlink r:id="rId7">
        <w:r>
          <w:rPr>
            <w:rStyle w:val="InternetLink"/>
            <w:rFonts w:ascii="Times New Roman" w:hAnsi="Times New Roman"/>
            <w:color w:val="0000FF"/>
            <w:sz w:val="20"/>
            <w:u w:val="single"/>
          </w:rPr>
          <w:t>August 18, 2020</w:t>
        </w:r>
      </w:hyperlink>
      <w:r>
        <w:rPr>
          <w:rFonts w:ascii="Times New Roman" w:hAnsi="Times New Roman"/>
          <w:color w:val="000000"/>
          <w:sz w:val="20"/>
        </w:rPr>
        <w:t xml:space="preserve"> (File No. 333-248090), </w:t>
      </w:r>
      <w:hyperlink r:id="rId8">
        <w:r>
          <w:rPr>
            <w:rStyle w:val="InternetLink"/>
            <w:rFonts w:ascii="Times New Roman" w:hAnsi="Times New Roman"/>
            <w:color w:val="0000FF"/>
            <w:sz w:val="20"/>
            <w:u w:val="single"/>
          </w:rPr>
          <w:t>May 14, 2021</w:t>
        </w:r>
      </w:hyperlink>
      <w:r>
        <w:rPr>
          <w:rFonts w:ascii="Times New Roman" w:hAnsi="Times New Roman"/>
          <w:color w:val="000000"/>
          <w:sz w:val="20"/>
        </w:rPr>
        <w:t xml:space="preserve"> (File No. 333-256145), </w:t>
      </w:r>
      <w:hyperlink r:id="rId9">
        <w:r>
          <w:rPr>
            <w:rStyle w:val="InternetLink"/>
            <w:rFonts w:ascii="Times New Roman" w:hAnsi="Times New Roman"/>
            <w:color w:val="0000FF"/>
            <w:sz w:val="20"/>
            <w:u w:val="single"/>
          </w:rPr>
          <w:t>May 11, 2022</w:t>
        </w:r>
      </w:hyperlink>
      <w:r>
        <w:rPr>
          <w:rFonts w:ascii="Times New Roman" w:hAnsi="Times New Roman"/>
          <w:color w:val="000000"/>
          <w:sz w:val="20"/>
        </w:rPr>
        <w:t xml:space="preserve"> (File No. 333-264866), </w:t>
      </w:r>
      <w:hyperlink r:id="rId10">
        <w:r>
          <w:rPr>
            <w:rStyle w:val="InternetLink"/>
            <w:rFonts w:ascii="Times New Roman" w:hAnsi="Times New Roman"/>
            <w:color w:val="0000FF"/>
            <w:sz w:val="20"/>
            <w:u w:val="single"/>
          </w:rPr>
          <w:t>August 10, 2023</w:t>
        </w:r>
      </w:hyperlink>
      <w:r>
        <w:rPr>
          <w:rFonts w:ascii="Times New Roman" w:hAnsi="Times New Roman"/>
          <w:color w:val="000000"/>
          <w:sz w:val="20"/>
        </w:rPr>
        <w:t xml:space="preserve"> (File No. 333-273876), </w:t>
      </w:r>
      <w:hyperlink r:id="rId11">
        <w:r>
          <w:rPr>
            <w:rStyle w:val="InternetLink"/>
            <w:rFonts w:ascii="Times New Roman" w:hAnsi="Times New Roman"/>
            <w:color w:val="0000FF"/>
            <w:sz w:val="20"/>
            <w:u w:val="single"/>
          </w:rPr>
          <w:t>August 13, 2024</w:t>
        </w:r>
      </w:hyperlink>
      <w:r>
        <w:rPr>
          <w:rFonts w:ascii="Times New Roman" w:hAnsi="Times New Roman"/>
          <w:color w:val="000000"/>
          <w:sz w:val="20"/>
        </w:rPr>
        <w:t xml:space="preserve"> (File No. 333-281525) and </w:t>
      </w:r>
      <w:hyperlink r:id="rId12">
        <w:r>
          <w:rPr>
            <w:rStyle w:val="InternetLink"/>
            <w:rFonts w:ascii="Times New Roman" w:hAnsi="Times New Roman"/>
            <w:color w:val="0000FF"/>
            <w:sz w:val="20"/>
            <w:u w:val="single"/>
          </w:rPr>
          <w:t>August 7, 2025</w:t>
        </w:r>
      </w:hyperlink>
      <w:r>
        <w:rPr>
          <w:rFonts w:ascii="Times New Roman" w:hAnsi="Times New Roman"/>
          <w:color w:val="000000"/>
          <w:sz w:val="20"/>
        </w:rPr>
        <w:t xml:space="preserve"> (File No. 333-289364).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Registration Statement is being filed for the purpose of registering additional securities of the same class as other securities for which Registration Statements of the Registrant on Form S-8 relating to the same employee benefit plans are effective. </w:t>
      </w:r>
    </w:p>
    <w:p>
      <w:pPr>
        <w:pStyle w:val="TextBody"/>
        <w:bidi w:val="0"/>
        <w:spacing w:before="240" w:after="283"/>
        <w:jc w:val="both"/>
        <w:rPr/>
      </w:pPr>
      <w:r>
        <w:rPr>
          <w:rFonts w:ascii="Times New Roman" w:hAnsi="Times New Roman"/>
          <w:color w:val="000000"/>
          <w:sz w:val="20"/>
        </w:rPr>
        <w:t xml:space="preserve">Pursuant to General Instruction E to Form S-8, this Registration Statement hereby incorporates by reference the contents of the registration statements referenced above and the description of the Registrant’s Common Stock which is contained in a Registration Statement on </w:t>
      </w:r>
      <w:hyperlink r:id="rId13">
        <w:r>
          <w:rPr>
            <w:rStyle w:val="InternetLink"/>
            <w:rFonts w:ascii="Times New Roman" w:hAnsi="Times New Roman"/>
            <w:color w:val="0000FF"/>
            <w:sz w:val="20"/>
            <w:u w:val="single"/>
          </w:rPr>
          <w:t>Form 8-A</w:t>
        </w:r>
      </w:hyperlink>
      <w:r>
        <w:rPr>
          <w:rFonts w:ascii="Times New Roman" w:hAnsi="Times New Roman"/>
          <w:color w:val="000000"/>
          <w:sz w:val="20"/>
        </w:rPr>
        <w:t xml:space="preserve"> filed with the Commission on May 6, 2015 (File No. 001-37378) under Section 12(b) of the Securities Exchange Act of 1934, as amended, including any amendment or report filed for the purpose of updating such description, including </w:t>
      </w:r>
      <w:hyperlink r:id="rId14">
        <w:r>
          <w:rPr>
            <w:rStyle w:val="InternetLink"/>
            <w:rFonts w:ascii="Times New Roman" w:hAnsi="Times New Roman"/>
            <w:color w:val="0000FF"/>
            <w:sz w:val="20"/>
            <w:u w:val="single"/>
          </w:rPr>
          <w:t>Exhibit 4.6</w:t>
        </w:r>
      </w:hyperlink>
      <w:r>
        <w:rPr>
          <w:rFonts w:ascii="Times New Roman" w:hAnsi="Times New Roman"/>
          <w:color w:val="000000"/>
          <w:sz w:val="20"/>
        </w:rPr>
        <w:t xml:space="preserve"> to the Registrant’s Annual Report on Form 10-K for the fiscal year ended December 31, 2023, as filed with the Commission on March 14, 2024.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8. Exhibits.</w:t>
      </w:r>
    </w:p>
    <w:p>
      <w:pPr>
        <w:pStyle w:val="TextBody"/>
        <w:bidi w:val="0"/>
        <w:spacing w:before="120" w:after="80"/>
        <w:jc w:val="left"/>
        <w:rPr>
          <w:rFonts w:ascii="Times New Roman" w:hAnsi="Times New Roman"/>
          <w:color w:val="000000"/>
          <w:sz w:val="20"/>
        </w:rPr>
      </w:pPr>
      <w:r>
        <w:rPr>
          <w:rFonts w:ascii="Times New Roman" w:hAnsi="Times New Roman"/>
          <w:color w:val="000000"/>
          <w:sz w:val="20"/>
        </w:rPr>
        <w:t>The exhibits to this Registration Statement are listed below:</w:t>
      </w:r>
    </w:p>
    <w:tbl>
      <w:tblPr>
        <w:tblW w:w="10205" w:type="dxa"/>
        <w:jc w:val="left"/>
        <w:tblInd w:w="0" w:type="dxa"/>
        <w:tblLayout w:type="fixed"/>
        <w:tblCellMar>
          <w:top w:w="28" w:type="dxa"/>
          <w:left w:w="28" w:type="dxa"/>
          <w:bottom w:w="28" w:type="dxa"/>
          <w:right w:w="28" w:type="dxa"/>
        </w:tblCellMar>
      </w:tblPr>
      <w:tblGrid>
        <w:gridCol w:w="946"/>
        <w:gridCol w:w="5297"/>
        <w:gridCol w:w="554"/>
        <w:gridCol w:w="1151"/>
        <w:gridCol w:w="712"/>
        <w:gridCol w:w="1545"/>
      </w:tblGrid>
      <w:tr>
        <w:trPr/>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5297" w:type="dxa"/>
            <w:tcBorders/>
            <w:shd w:fill="FFFFFF" w:val="clear"/>
            <w:vAlign w:val="center"/>
          </w:tcPr>
          <w:p>
            <w:pPr>
              <w:pStyle w:val="TableContents"/>
              <w:bidi w:val="0"/>
              <w:spacing w:before="0" w:after="283"/>
              <w:jc w:val="left"/>
              <w:rPr>
                <w:sz w:val="4"/>
                <w:szCs w:val="4"/>
              </w:rPr>
            </w:pPr>
            <w:r>
              <w:rPr>
                <w:sz w:val="4"/>
                <w:szCs w:val="4"/>
              </w:rPr>
            </w:r>
          </w:p>
        </w:tc>
        <w:tc>
          <w:tcPr>
            <w:tcW w:w="554" w:type="dxa"/>
            <w:tcBorders/>
            <w:shd w:fill="FFFFFF" w:val="clear"/>
            <w:vAlign w:val="center"/>
          </w:tcPr>
          <w:p>
            <w:pPr>
              <w:pStyle w:val="TableContents"/>
              <w:bidi w:val="0"/>
              <w:spacing w:before="0" w:after="283"/>
              <w:jc w:val="left"/>
              <w:rPr>
                <w:sz w:val="4"/>
                <w:szCs w:val="4"/>
              </w:rPr>
            </w:pPr>
            <w:r>
              <w:rPr>
                <w:sz w:val="4"/>
                <w:szCs w:val="4"/>
              </w:rPr>
            </w:r>
          </w:p>
        </w:tc>
        <w:tc>
          <w:tcPr>
            <w:tcW w:w="1151" w:type="dxa"/>
            <w:tcBorders/>
            <w:shd w:fill="FFFFFF" w:val="clear"/>
            <w:vAlign w:val="center"/>
          </w:tcPr>
          <w:p>
            <w:pPr>
              <w:pStyle w:val="TableContents"/>
              <w:bidi w:val="0"/>
              <w:spacing w:before="0" w:after="283"/>
              <w:jc w:val="left"/>
              <w:rPr>
                <w:sz w:val="4"/>
                <w:szCs w:val="4"/>
              </w:rPr>
            </w:pPr>
            <w:r>
              <w:rPr>
                <w:sz w:val="4"/>
                <w:szCs w:val="4"/>
              </w:rPr>
            </w:r>
          </w:p>
        </w:tc>
        <w:tc>
          <w:tcPr>
            <w:tcW w:w="712" w:type="dxa"/>
            <w:tcBorders/>
            <w:shd w:fill="FFFFFF" w:val="clear"/>
            <w:vAlign w:val="center"/>
          </w:tcPr>
          <w:p>
            <w:pPr>
              <w:pStyle w:val="TableContents"/>
              <w:bidi w:val="0"/>
              <w:spacing w:before="0" w:after="283"/>
              <w:jc w:val="left"/>
              <w:rPr>
                <w:sz w:val="4"/>
                <w:szCs w:val="4"/>
              </w:rPr>
            </w:pPr>
            <w:r>
              <w:rPr>
                <w:sz w:val="4"/>
                <w:szCs w:val="4"/>
              </w:rPr>
            </w:r>
          </w:p>
        </w:tc>
        <w:tc>
          <w:tcPr>
            <w:tcW w:w="1545" w:type="dxa"/>
            <w:tcBorders/>
            <w:shd w:fill="FFFFFF" w:val="clear"/>
            <w:vAlign w:val="center"/>
          </w:tcPr>
          <w:p>
            <w:pPr>
              <w:pStyle w:val="TableContents"/>
              <w:bidi w:val="0"/>
              <w:spacing w:before="0" w:after="283"/>
              <w:jc w:val="left"/>
              <w:rPr>
                <w:sz w:val="4"/>
                <w:szCs w:val="4"/>
              </w:rPr>
            </w:pPr>
            <w:r>
              <w:rPr>
                <w:sz w:val="4"/>
                <w:szCs w:val="4"/>
              </w:rPr>
            </w:r>
          </w:p>
        </w:tc>
      </w:tr>
      <w:tr>
        <w:trPr/>
        <w:tc>
          <w:tcPr>
            <w:tcW w:w="6797" w:type="dxa"/>
            <w:gridSpan w:val="3"/>
            <w:tcBorders/>
            <w:tcMar>
              <w:top w:w="0" w:type="dxa"/>
              <w:left w:w="0" w:type="dxa"/>
              <w:bottom w:w="0" w:type="dxa"/>
              <w:right w:w="0" w:type="dxa"/>
            </w:tcMar>
            <w:vAlign w:val="center"/>
          </w:tcPr>
          <w:p>
            <w:pPr>
              <w:pStyle w:val="TableContents"/>
              <w:bidi w:val="0"/>
              <w:spacing w:before="0" w:after="120"/>
              <w:jc w:val="left"/>
              <w:rPr/>
            </w:pPr>
            <w:r>
              <w:rPr/>
              <w:t> </w:t>
            </w:r>
          </w:p>
        </w:tc>
        <w:tc>
          <w:tcPr>
            <w:tcW w:w="1863" w:type="dxa"/>
            <w:gridSpan w:val="2"/>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16"/>
              </w:rPr>
            </w:pPr>
            <w:r>
              <w:rPr>
                <w:rFonts w:ascii="Times New Roman" w:hAnsi="Times New Roman"/>
                <w:b/>
                <w:color w:val="000000"/>
                <w:sz w:val="16"/>
              </w:rPr>
              <w:t>Incorporated by Reference</w:t>
            </w:r>
          </w:p>
        </w:tc>
        <w:tc>
          <w:tcPr>
            <w:tcW w:w="1545" w:type="dxa"/>
            <w:tcBorders/>
            <w:tcMar>
              <w:top w:w="0" w:type="dxa"/>
              <w:left w:w="0" w:type="dxa"/>
              <w:bottom w:w="0" w:type="dxa"/>
              <w:right w:w="0" w:type="dxa"/>
            </w:tcMar>
            <w:vAlign w:val="center"/>
          </w:tcPr>
          <w:p>
            <w:pPr>
              <w:pStyle w:val="TableContents"/>
              <w:bidi w:val="0"/>
              <w:spacing w:before="0" w:after="120"/>
              <w:ind w:left="0" w:right="0" w:firstLine="240"/>
              <w:jc w:val="right"/>
              <w:rPr/>
            </w:pPr>
            <w:r>
              <w:rPr/>
              <w:t> </w:t>
            </w:r>
          </w:p>
        </w:tc>
      </w:tr>
      <w:tr>
        <w:trPr/>
        <w:tc>
          <w:tcPr>
            <w:tcW w:w="946" w:type="dxa"/>
            <w:tcBorders/>
            <w:tcMar>
              <w:top w:w="0" w:type="dxa"/>
              <w:left w:w="0" w:type="dxa"/>
              <w:bottom w:w="0" w:type="dxa"/>
              <w:right w:w="0" w:type="dxa"/>
            </w:tcMar>
            <w:vAlign w:val="center"/>
          </w:tcPr>
          <w:p>
            <w:pPr>
              <w:pStyle w:val="TableContents"/>
              <w:bidi w:val="0"/>
              <w:spacing w:before="0" w:after="120"/>
              <w:ind w:left="0" w:right="0" w:firstLine="24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120"/>
              <w:ind w:left="0" w:right="0" w:firstLine="240"/>
              <w:jc w:val="center"/>
              <w:rPr>
                <w:rFonts w:ascii="Times New Roman" w:hAnsi="Times New Roman"/>
                <w:b/>
                <w:color w:val="000000"/>
                <w:sz w:val="16"/>
              </w:rPr>
            </w:pPr>
            <w:r>
              <w:rPr>
                <w:rFonts w:ascii="Times New Roman" w:hAnsi="Times New Roman"/>
                <w:b/>
                <w:color w:val="000000"/>
                <w:sz w:val="16"/>
              </w:rPr>
              <w:t>Number</w:t>
            </w:r>
          </w:p>
        </w:tc>
        <w:tc>
          <w:tcPr>
            <w:tcW w:w="5297"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16"/>
              </w:rPr>
            </w:pPr>
            <w:r>
              <w:rPr>
                <w:rFonts w:ascii="Times New Roman" w:hAnsi="Times New Roman"/>
                <w:b/>
                <w:color w:val="000000"/>
                <w:sz w:val="16"/>
              </w:rPr>
              <w:t>Exhibit Title</w:t>
            </w:r>
          </w:p>
        </w:tc>
        <w:tc>
          <w:tcPr>
            <w:tcW w:w="55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16"/>
              </w:rPr>
            </w:pPr>
            <w:r>
              <w:rPr>
                <w:rFonts w:ascii="Times New Roman" w:hAnsi="Times New Roman"/>
                <w:b/>
                <w:color w:val="000000"/>
                <w:sz w:val="16"/>
              </w:rPr>
              <w:t>Form</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16"/>
              </w:rPr>
            </w:pPr>
            <w:r>
              <w:rPr>
                <w:rFonts w:ascii="Times New Roman" w:hAnsi="Times New Roman"/>
                <w:b/>
                <w:color w:val="000000"/>
                <w:sz w:val="16"/>
              </w:rPr>
              <w:t>File No.</w:t>
            </w:r>
          </w:p>
        </w:tc>
        <w:tc>
          <w:tcPr>
            <w:tcW w:w="712"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16"/>
              </w:rPr>
            </w:pPr>
            <w:r>
              <w:rPr>
                <w:rFonts w:ascii="Times New Roman" w:hAnsi="Times New Roman"/>
                <w:b/>
                <w:color w:val="000000"/>
                <w:sz w:val="16"/>
              </w:rPr>
              <w:t>Exhibit</w:t>
            </w:r>
          </w:p>
        </w:tc>
        <w:tc>
          <w:tcPr>
            <w:tcW w:w="1545"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16"/>
              </w:rPr>
            </w:pPr>
            <w:r>
              <w:rPr>
                <w:rFonts w:ascii="Times New Roman" w:hAnsi="Times New Roman"/>
                <w:b/>
                <w:color w:val="000000"/>
                <w:sz w:val="16"/>
              </w:rPr>
              <w:t>Filing Date</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4.1</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r:id="rId15">
              <w:r>
                <w:rPr>
                  <w:rStyle w:val="InternetLink"/>
                  <w:rFonts w:ascii="Times New Roman" w:hAnsi="Times New Roman"/>
                  <w:color w:val="0000FF"/>
                  <w:sz w:val="20"/>
                  <w:u w:val="single"/>
                </w:rPr>
                <w:t>Restated Certificate of Incorporation of the Registrant</w:t>
              </w:r>
            </w:hyperlink>
          </w:p>
        </w:tc>
        <w:tc>
          <w:tcPr>
            <w:tcW w:w="55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001-37378</w:t>
            </w:r>
          </w:p>
        </w:tc>
        <w:tc>
          <w:tcPr>
            <w:tcW w:w="712"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3.1</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November 14, 2022</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4.2</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r:id="rId16">
              <w:r>
                <w:rPr>
                  <w:rStyle w:val="InternetLink"/>
                  <w:rFonts w:ascii="Times New Roman" w:hAnsi="Times New Roman"/>
                  <w:color w:val="0000FF"/>
                  <w:sz w:val="20"/>
                  <w:u w:val="single"/>
                </w:rPr>
                <w:t>Certificate of Amendment to Restated Certificate of Incorporation of the Registrant</w:t>
              </w:r>
            </w:hyperlink>
          </w:p>
        </w:tc>
        <w:tc>
          <w:tcPr>
            <w:tcW w:w="55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001-37378</w:t>
            </w:r>
          </w:p>
        </w:tc>
        <w:tc>
          <w:tcPr>
            <w:tcW w:w="712"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3.1</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June 28, 2019</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4.3</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r:id="rId17">
              <w:r>
                <w:rPr>
                  <w:rStyle w:val="InternetLink"/>
                  <w:rFonts w:ascii="Times New Roman" w:hAnsi="Times New Roman"/>
                  <w:color w:val="0000FF"/>
                  <w:sz w:val="20"/>
                  <w:u w:val="single"/>
                </w:rPr>
                <w:t>Certificate of Amendment to Restated Certificate of Incorporation of the Registrant</w:t>
              </w:r>
            </w:hyperlink>
          </w:p>
        </w:tc>
        <w:tc>
          <w:tcPr>
            <w:tcW w:w="55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001-37378</w:t>
            </w:r>
          </w:p>
        </w:tc>
        <w:tc>
          <w:tcPr>
            <w:tcW w:w="712"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3.3</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May 12, 2020</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4.4</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r:id="rId18">
              <w:r>
                <w:rPr>
                  <w:rStyle w:val="InternetLink"/>
                  <w:rFonts w:ascii="Times New Roman" w:hAnsi="Times New Roman"/>
                  <w:color w:val="0000FF"/>
                  <w:sz w:val="20"/>
                  <w:u w:val="single"/>
                </w:rPr>
                <w:t>Certificate of Amendment to Restated Certificate of Incorporation of the Registrant</w:t>
              </w:r>
            </w:hyperlink>
            <w:r>
              <w:rPr>
                <w:rFonts w:ascii="Times New Roman" w:hAnsi="Times New Roman"/>
                <w:color w:val="000000"/>
                <w:sz w:val="20"/>
              </w:rPr>
              <w:t xml:space="preserve"> </w:t>
            </w:r>
          </w:p>
        </w:tc>
        <w:tc>
          <w:tcPr>
            <w:tcW w:w="55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001-37378</w:t>
            </w:r>
          </w:p>
        </w:tc>
        <w:tc>
          <w:tcPr>
            <w:tcW w:w="712"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3.1</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May 4, 2021</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4.5</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r:id="rId19">
              <w:r>
                <w:rPr>
                  <w:rStyle w:val="InternetLink"/>
                  <w:rFonts w:ascii="Times New Roman" w:hAnsi="Times New Roman"/>
                  <w:color w:val="0000FF"/>
                  <w:sz w:val="20"/>
                  <w:u w:val="single"/>
                </w:rPr>
                <w:t>Certificate of Amendment to Restated Certificate of Incorporation of the Registrant</w:t>
              </w:r>
            </w:hyperlink>
          </w:p>
        </w:tc>
        <w:tc>
          <w:tcPr>
            <w:tcW w:w="55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001-37378</w:t>
            </w:r>
          </w:p>
        </w:tc>
        <w:tc>
          <w:tcPr>
            <w:tcW w:w="712"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3.1</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April 29, 2022</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4.6</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r:id="rId20">
              <w:r>
                <w:rPr>
                  <w:rStyle w:val="InternetLink"/>
                  <w:rFonts w:ascii="Times New Roman" w:hAnsi="Times New Roman"/>
                  <w:color w:val="0000FF"/>
                  <w:sz w:val="20"/>
                  <w:u w:val="single"/>
                </w:rPr>
                <w:t>Certificate of Amendment to Restated Certificate of Incorporation of the Registrant</w:t>
              </w:r>
            </w:hyperlink>
          </w:p>
        </w:tc>
        <w:tc>
          <w:tcPr>
            <w:tcW w:w="55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001-37378</w:t>
            </w:r>
          </w:p>
        </w:tc>
        <w:tc>
          <w:tcPr>
            <w:tcW w:w="712"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3.1</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May 19, 2023</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4.7</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r:id="rId21">
              <w:r>
                <w:rPr>
                  <w:rStyle w:val="InternetLink"/>
                  <w:rFonts w:ascii="Times New Roman" w:hAnsi="Times New Roman"/>
                  <w:color w:val="0000FF"/>
                  <w:sz w:val="20"/>
                  <w:u w:val="single"/>
                </w:rPr>
                <w:t>Certificate of Amendment to Restated Certificate of Incorporation of the Registrant</w:t>
              </w:r>
            </w:hyperlink>
          </w:p>
        </w:tc>
        <w:tc>
          <w:tcPr>
            <w:tcW w:w="55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001-37378</w:t>
            </w:r>
          </w:p>
        </w:tc>
        <w:tc>
          <w:tcPr>
            <w:tcW w:w="712"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3.7</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May 15, 2026</w:t>
            </w:r>
          </w:p>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4.8</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r:id="rId22">
              <w:r>
                <w:rPr>
                  <w:rStyle w:val="InternetLink"/>
                  <w:rFonts w:ascii="Times New Roman" w:hAnsi="Times New Roman"/>
                  <w:color w:val="0000FF"/>
                  <w:sz w:val="20"/>
                  <w:u w:val="single"/>
                </w:rPr>
                <w:t>Amended and Restated Bylaws of the Registrant</w:t>
              </w:r>
            </w:hyperlink>
          </w:p>
        </w:tc>
        <w:tc>
          <w:tcPr>
            <w:tcW w:w="55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001-37378</w:t>
            </w:r>
          </w:p>
        </w:tc>
        <w:tc>
          <w:tcPr>
            <w:tcW w:w="712"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3.6</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November 14, 2022</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4.9</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r:id="rId23">
              <w:r>
                <w:rPr>
                  <w:rStyle w:val="InternetLink"/>
                  <w:rFonts w:ascii="Times New Roman" w:hAnsi="Times New Roman"/>
                  <w:color w:val="0000FF"/>
                  <w:sz w:val="20"/>
                  <w:u w:val="single"/>
                </w:rPr>
                <w:t>Specimen</w:t>
              </w:r>
            </w:hyperlink>
            <w:hyperlink r:id="rId24">
              <w:r>
                <w:rPr>
                  <w:rStyle w:val="InternetLink"/>
                  <w:rFonts w:ascii="Times New Roman" w:hAnsi="Times New Roman"/>
                  <w:color w:val="000000"/>
                  <w:sz w:val="20"/>
                  <w:u w:val="single"/>
                </w:rPr>
                <w:t xml:space="preserve"> </w:t>
              </w:r>
            </w:hyperlink>
            <w:hyperlink r:id="rId25">
              <w:r>
                <w:rPr>
                  <w:rStyle w:val="InternetLink"/>
                  <w:rFonts w:ascii="Times New Roman" w:hAnsi="Times New Roman"/>
                  <w:color w:val="0000FF"/>
                  <w:sz w:val="20"/>
                  <w:u w:val="single"/>
                </w:rPr>
                <w:t>Common</w:t>
              </w:r>
            </w:hyperlink>
            <w:hyperlink r:id="rId26">
              <w:r>
                <w:rPr>
                  <w:rStyle w:val="InternetLink"/>
                  <w:rFonts w:ascii="Times New Roman" w:hAnsi="Times New Roman"/>
                  <w:color w:val="000000"/>
                  <w:sz w:val="20"/>
                  <w:u w:val="single"/>
                </w:rPr>
                <w:t xml:space="preserve"> </w:t>
              </w:r>
            </w:hyperlink>
            <w:hyperlink r:id="rId27">
              <w:r>
                <w:rPr>
                  <w:rStyle w:val="InternetLink"/>
                  <w:rFonts w:ascii="Times New Roman" w:hAnsi="Times New Roman"/>
                  <w:color w:val="0000FF"/>
                  <w:sz w:val="20"/>
                  <w:u w:val="single"/>
                </w:rPr>
                <w:t>Stock</w:t>
              </w:r>
            </w:hyperlink>
            <w:hyperlink r:id="rId28">
              <w:r>
                <w:rPr>
                  <w:rStyle w:val="InternetLink"/>
                  <w:rFonts w:ascii="Times New Roman" w:hAnsi="Times New Roman"/>
                  <w:color w:val="000000"/>
                  <w:sz w:val="20"/>
                  <w:u w:val="single"/>
                </w:rPr>
                <w:t xml:space="preserve"> </w:t>
              </w:r>
            </w:hyperlink>
            <w:hyperlink r:id="rId29">
              <w:r>
                <w:rPr>
                  <w:rStyle w:val="InternetLink"/>
                  <w:rFonts w:ascii="Times New Roman" w:hAnsi="Times New Roman"/>
                  <w:color w:val="0000FF"/>
                  <w:sz w:val="20"/>
                  <w:u w:val="single"/>
                </w:rPr>
                <w:t>Certificate</w:t>
              </w:r>
            </w:hyperlink>
          </w:p>
        </w:tc>
        <w:tc>
          <w:tcPr>
            <w:tcW w:w="55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S-1/A</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333-203272</w:t>
            </w:r>
          </w:p>
        </w:tc>
        <w:tc>
          <w:tcPr>
            <w:tcW w:w="712"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4.1</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April 27, 2015</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 xml:space="preserve">5.1 </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w:anchor="atyr-ex5_1.htm">
              <w:r>
                <w:rPr>
                  <w:rStyle w:val="InternetLink"/>
                  <w:rFonts w:ascii="Times New Roman" w:hAnsi="Times New Roman"/>
                  <w:color w:val="0000FF"/>
                  <w:sz w:val="20"/>
                  <w:u w:val="single"/>
                </w:rPr>
                <w:t>Opinion of Cooley LLP</w:t>
              </w:r>
            </w:hyperlink>
          </w:p>
        </w:tc>
        <w:tc>
          <w:tcPr>
            <w:tcW w:w="554"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15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712"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Filed herewith</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23.1</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w:anchor="atyr-ex5_1.htm">
              <w:r>
                <w:rPr>
                  <w:rStyle w:val="InternetLink"/>
                  <w:rFonts w:ascii="Times New Roman" w:hAnsi="Times New Roman"/>
                  <w:color w:val="0000FF"/>
                  <w:sz w:val="20"/>
                  <w:u w:val="single"/>
                </w:rPr>
                <w:t>Consent of Cooley LLP (included in Exhibit 5.1)</w:t>
              </w:r>
            </w:hyperlink>
          </w:p>
        </w:tc>
        <w:tc>
          <w:tcPr>
            <w:tcW w:w="554"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15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712"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Filed herewith</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23.2</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w:anchor="atyr-ex23_2.htm">
              <w:r>
                <w:rPr>
                  <w:rStyle w:val="InternetLink"/>
                  <w:rFonts w:ascii="Times New Roman" w:hAnsi="Times New Roman"/>
                  <w:color w:val="0000FF"/>
                  <w:sz w:val="20"/>
                  <w:u w:val="single"/>
                </w:rPr>
                <w:t>Consent of Independent Registered Public Accounting Firm</w:t>
              </w:r>
            </w:hyperlink>
          </w:p>
        </w:tc>
        <w:tc>
          <w:tcPr>
            <w:tcW w:w="554"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15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712"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Filed herewith</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24.1</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w:anchor="powerofattorney">
              <w:r>
                <w:rPr>
                  <w:rStyle w:val="InternetLink"/>
                  <w:rFonts w:ascii="Times New Roman" w:hAnsi="Times New Roman"/>
                  <w:color w:val="0000FF"/>
                  <w:sz w:val="20"/>
                  <w:u w:val="single"/>
                </w:rPr>
                <w:t>Power of Attorney (included on the signature page hereto)</w:t>
              </w:r>
            </w:hyperlink>
          </w:p>
        </w:tc>
        <w:tc>
          <w:tcPr>
            <w:tcW w:w="554"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15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712"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Filed herewith</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99.1</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r:id="rId30">
              <w:r>
                <w:rPr>
                  <w:rStyle w:val="InternetLink"/>
                  <w:rFonts w:ascii="Times New Roman" w:hAnsi="Times New Roman"/>
                  <w:color w:val="0000FF"/>
                  <w:sz w:val="20"/>
                  <w:u w:val="single"/>
                </w:rPr>
                <w:t>aTyr Pharma, Inc. 2015 Stock Option and Incentive Plan, as amended</w:t>
              </w:r>
            </w:hyperlink>
          </w:p>
        </w:tc>
        <w:tc>
          <w:tcPr>
            <w:tcW w:w="554"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10-Q</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001-37378</w:t>
            </w:r>
          </w:p>
        </w:tc>
        <w:tc>
          <w:tcPr>
            <w:tcW w:w="712"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10.1</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May 15, 2026</w:t>
            </w:r>
          </w:p>
        </w:tc>
      </w:tr>
      <w:tr>
        <w:trPr/>
        <w:tc>
          <w:tcPr>
            <w:tcW w:w="9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107</w:t>
            </w:r>
          </w:p>
        </w:tc>
        <w:tc>
          <w:tcPr>
            <w:tcW w:w="5297" w:type="dxa"/>
            <w:tcBorders/>
            <w:tcMar>
              <w:top w:w="0" w:type="dxa"/>
              <w:left w:w="0" w:type="dxa"/>
              <w:bottom w:w="0" w:type="dxa"/>
              <w:right w:w="0" w:type="dxa"/>
            </w:tcMar>
            <w:vAlign w:val="center"/>
          </w:tcPr>
          <w:p>
            <w:pPr>
              <w:pStyle w:val="TableContents"/>
              <w:bidi w:val="0"/>
              <w:spacing w:before="0" w:after="120"/>
              <w:jc w:val="left"/>
              <w:rPr/>
            </w:pPr>
            <w:hyperlink w:anchor="atyr-exfiling_fees.htm">
              <w:r>
                <w:rPr>
                  <w:rStyle w:val="InternetLink"/>
                  <w:rFonts w:ascii="Times New Roman" w:hAnsi="Times New Roman"/>
                  <w:color w:val="0000FF"/>
                  <w:sz w:val="20"/>
                  <w:u w:val="single"/>
                </w:rPr>
                <w:t>Filing Fee Table</w:t>
              </w:r>
            </w:hyperlink>
          </w:p>
        </w:tc>
        <w:tc>
          <w:tcPr>
            <w:tcW w:w="554"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151"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712" w:type="dxa"/>
            <w:tcBorders/>
            <w:tcMar>
              <w:top w:w="0" w:type="dxa"/>
              <w:left w:w="0" w:type="dxa"/>
              <w:bottom w:w="0" w:type="dxa"/>
              <w:right w:w="0" w:type="dxa"/>
            </w:tcMar>
            <w:vAlign w:val="center"/>
          </w:tcPr>
          <w:p>
            <w:pPr>
              <w:pStyle w:val="TableContents"/>
              <w:bidi w:val="0"/>
              <w:spacing w:before="0" w:after="120"/>
              <w:jc w:val="center"/>
              <w:rPr>
                <w:color w:val="000000"/>
              </w:rPr>
            </w:pPr>
            <w:r>
              <w:rPr>
                <w:color w:val="000000"/>
              </w:rPr>
              <w:t>—</w:t>
            </w:r>
          </w:p>
        </w:tc>
        <w:tc>
          <w:tcPr>
            <w:tcW w:w="1545"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80"/>
        <w:jc w:val="both"/>
        <w:rPr>
          <w:rFonts w:ascii="Times New Roman" w:hAnsi="Times New Roman"/>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this 7</w:t>
      </w:r>
      <w:r>
        <w:rPr>
          <w:rFonts w:ascii="Times New Roman" w:hAnsi="Times New Roman"/>
          <w:color w:val="000000"/>
          <w:sz w:val="13"/>
        </w:rPr>
        <w:t>th</w:t>
      </w:r>
      <w:r>
        <w:rPr>
          <w:rFonts w:ascii="Times New Roman" w:hAnsi="Times New Roman"/>
          <w:color w:val="000000"/>
          <w:sz w:val="20"/>
        </w:rPr>
        <w:t xml:space="preserve"> day of August, 2026. </w:t>
      </w:r>
    </w:p>
    <w:tbl>
      <w:tblPr>
        <w:tblW w:w="4734" w:type="dxa"/>
        <w:jc w:val="left"/>
        <w:tblInd w:w="0" w:type="dxa"/>
        <w:tblLayout w:type="fixed"/>
        <w:tblCellMar>
          <w:top w:w="28" w:type="dxa"/>
          <w:left w:w="28" w:type="dxa"/>
          <w:bottom w:w="28" w:type="dxa"/>
          <w:right w:w="28" w:type="dxa"/>
        </w:tblCellMar>
      </w:tblPr>
      <w:tblGrid>
        <w:gridCol w:w="421"/>
        <w:gridCol w:w="146"/>
        <w:gridCol w:w="3976"/>
        <w:gridCol w:w="19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ATYR PHARMA,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1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Sanjay S. Shukla</w:t>
            </w:r>
          </w:p>
        </w:tc>
        <w:tc>
          <w:tcPr>
            <w:tcW w:w="191"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S. Shukla, M.D., M.S.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Chief Executive Officer and 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center"/>
        <w:rPr>
          <w:rFonts w:ascii="Times New Roman" w:hAnsi="Times New Roman"/>
          <w:b/>
          <w:color w:val="000000"/>
          <w:sz w:val="20"/>
        </w:rPr>
      </w:pPr>
      <w:bookmarkStart w:id="2" w:name="powerofattorney"/>
      <w:bookmarkEnd w:id="2"/>
      <w:r>
        <w:rPr>
          <w:rFonts w:ascii="Times New Roman" w:hAnsi="Times New Roman"/>
          <w:b/>
          <w:color w:val="000000"/>
          <w:sz w:val="20"/>
        </w:rPr>
        <w:t>POWER OF ATTORNEY AND 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the undersigned officers and directors of aTyr Pharma, Inc., hereby severally constitute and appoint Sanjay S. Shukla, M.D., M.S. and Jill M. Broadfoot, and each of them singly (with full power to each of them to act alone), our true and lawful attorneys-in-fact and agents, with full power of substitution and resubstitution in each of them for their and in their name, place and stead, and in any and all capacities, to sign for us and in our names in the capacities indicated below any and all amendments (including post-effective amendments) to this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or his or her substitute or substitutes, may lawfully do or cause to be done by virtue hereof.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Act of 1933, this registration statement has been signed by the following persons in the capacities and on the date indicated below. </w:t>
      </w:r>
    </w:p>
    <w:tbl>
      <w:tblPr>
        <w:tblW w:w="8450" w:type="dxa"/>
        <w:jc w:val="left"/>
        <w:tblInd w:w="0" w:type="dxa"/>
        <w:tblLayout w:type="fixed"/>
        <w:tblCellMar>
          <w:top w:w="28" w:type="dxa"/>
          <w:left w:w="28" w:type="dxa"/>
          <w:bottom w:w="28" w:type="dxa"/>
          <w:right w:w="28" w:type="dxa"/>
        </w:tblCellMar>
      </w:tblPr>
      <w:tblGrid>
        <w:gridCol w:w="2446"/>
        <w:gridCol w:w="346"/>
        <w:gridCol w:w="4116"/>
        <w:gridCol w:w="146"/>
        <w:gridCol w:w="1396"/>
      </w:tblGrid>
      <w:tr>
        <w:trPr/>
        <w:tc>
          <w:tcPr>
            <w:tcW w:w="24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Sanjay S. Shukla</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President, Chief Executive Officer and 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2026</w:t>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Sanjay S. Shukla, M.D., M.S.</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 xml:space="preserve">/s/ Jill M. Broadfoot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2026</w:t>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Jill M. Broadfoot</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/s/ Timothy P. Coughlin</w:t>
            </w:r>
          </w:p>
        </w:tc>
        <w:tc>
          <w:tcPr>
            <w:tcW w:w="3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Chairman of the Board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2026</w:t>
            </w:r>
          </w:p>
        </w:tc>
      </w:tr>
      <w:tr>
        <w:trPr/>
        <w:tc>
          <w:tcPr>
            <w:tcW w:w="244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Timothy P. Coughlin</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tcMar>
              <w:top w:w="0" w:type="dxa"/>
              <w:left w:w="0" w:type="dxa"/>
              <w:bottom w:w="0" w:type="dxa"/>
              <w:right w:w="0" w:type="dxa"/>
            </w:tcMar>
            <w:vAlign w:val="center"/>
          </w:tcPr>
          <w:p>
            <w:pPr>
              <w:pStyle w:val="TableContents"/>
              <w:bidi w:val="0"/>
              <w:spacing w:before="0" w:after="20"/>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11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0"/>
              </w:rPr>
            </w:pPr>
            <w:r>
              <w:rPr>
                <w:rFonts w:ascii="Times New Roman" w:hAnsi="Times New Roman"/>
                <w:color w:val="000000"/>
                <w:sz w:val="20"/>
              </w:rPr>
              <w:t>/s/ Eric Benevich</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2026</w:t>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Eric Benevich</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Jane A. Gross</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2026</w:t>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Jane A. Gross, Ph.D.</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tcMar>
              <w:top w:w="0" w:type="dxa"/>
              <w:left w:w="0" w:type="dxa"/>
              <w:bottom w:w="0" w:type="dxa"/>
              <w:right w:w="0" w:type="dxa"/>
            </w:tcMar>
            <w:vAlign w:val="center"/>
          </w:tcPr>
          <w:p>
            <w:pPr>
              <w:pStyle w:val="TableContents"/>
              <w:bidi w:val="0"/>
              <w:spacing w:before="0" w:after="20"/>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11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Svetlana Lucas</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2026</w:t>
            </w:r>
          </w:p>
        </w:tc>
      </w:tr>
      <w:tr>
        <w:trPr/>
        <w:tc>
          <w:tcPr>
            <w:tcW w:w="244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Svetlana Lucas, Ph.D.</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center"/>
              <w:rPr/>
            </w:pPr>
            <w:r>
              <w:rPr/>
              <w:t> </w:t>
            </w:r>
          </w:p>
        </w:tc>
        <w:tc>
          <w:tcPr>
            <w:tcW w:w="1396"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Sara L. Zaknoen</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2026</w:t>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Sara L. Zaknoen, M.D.</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3" w:name="atyr-ex5_1.htm"/>
      <w:bookmarkStart w:id="4" w:name="ksatyrex5_1"/>
      <w:bookmarkEnd w:id="3"/>
      <w:bookmarkEnd w:id="4"/>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1"/>
                    <a:stretch>
                      <a:fillRect/>
                    </a:stretch>
                  </pic:blipFill>
                  <pic:spPr bwMode="auto">
                    <a:xfrm>
                      <a:off x="0" y="0"/>
                      <a:ext cx="1295400" cy="419100"/>
                    </a:xfrm>
                    <a:prstGeom prst="rect">
                      <a:avLst/>
                    </a:prstGeom>
                  </pic:spPr>
                </pic:pic>
              </a:graphicData>
            </a:graphic>
          </wp:inline>
        </w:drawing>
      </w:r>
      <w:r>
        <w:br w:type="page"/>
      </w:r>
    </w:p>
    <w:p>
      <w:pPr>
        <w:pStyle w:val="TextBody"/>
        <w:bidi w:val="0"/>
        <w:jc w:val="left"/>
        <w:rPr/>
      </w:pPr>
      <w:r>
        <w:rPr/>
        <w:t> </w:t>
      </w:r>
    </w:p>
    <w:p>
      <w:pPr>
        <w:pStyle w:val="TextBody"/>
        <w:bidi w:val="0"/>
        <w:jc w:val="left"/>
        <w:rPr>
          <w:rFonts w:ascii="Times New Roman" w:hAnsi="Times New Roman"/>
          <w:sz w:val="20"/>
        </w:rPr>
      </w:pPr>
      <w:r>
        <w:rPr>
          <w:rFonts w:ascii="Arial" w:hAnsi="Arial"/>
          <w:caps/>
          <w:color w:val="000000"/>
          <w:sz w:val="20"/>
        </w:rPr>
        <w:t>C</w:t>
      </w:r>
      <w:r>
        <w:rPr>
          <w:rFonts w:ascii="Arial" w:hAnsi="Arial"/>
          <w:color w:val="000000"/>
          <w:sz w:val="20"/>
        </w:rPr>
        <w:t>harles J. Bair</w:t>
      </w:r>
    </w:p>
    <w:p>
      <w:pPr>
        <w:pStyle w:val="TextBody"/>
        <w:bidi w:val="0"/>
        <w:jc w:val="left"/>
        <w:rPr>
          <w:rFonts w:ascii="Arial" w:hAnsi="Arial"/>
          <w:color w:val="000000"/>
          <w:sz w:val="20"/>
        </w:rPr>
      </w:pPr>
      <w:r>
        <w:rPr>
          <w:rFonts w:ascii="Arial" w:hAnsi="Arial"/>
          <w:color w:val="000000"/>
          <w:sz w:val="20"/>
        </w:rPr>
        <w:t>+1 858 550 6142</w:t>
      </w:r>
    </w:p>
    <w:p>
      <w:pPr>
        <w:pStyle w:val="TextBody"/>
        <w:bidi w:val="0"/>
        <w:spacing w:before="0" w:after="180"/>
        <w:jc w:val="left"/>
        <w:rPr>
          <w:rFonts w:ascii="Arial" w:hAnsi="Arial"/>
          <w:color w:val="000000"/>
          <w:sz w:val="20"/>
        </w:rPr>
      </w:pPr>
      <w:r>
        <w:rPr>
          <w:rFonts w:ascii="Arial" w:hAnsi="Arial"/>
          <w:color w:val="000000"/>
          <w:sz w:val="20"/>
        </w:rPr>
        <w:t>cbair@cooley.com</w:t>
      </w:r>
    </w:p>
    <w:p>
      <w:pPr>
        <w:pStyle w:val="TextBody"/>
        <w:bidi w:val="0"/>
        <w:spacing w:before="0" w:after="180"/>
        <w:jc w:val="left"/>
        <w:rPr>
          <w:rFonts w:ascii="Arial" w:hAnsi="Arial"/>
          <w:color w:val="000000"/>
          <w:sz w:val="20"/>
        </w:rPr>
      </w:pPr>
      <w:r>
        <w:rPr>
          <w:rFonts w:ascii="Arial" w:hAnsi="Arial"/>
          <w:color w:val="000000"/>
          <w:sz w:val="20"/>
        </w:rPr>
        <w:t>August 7, 2026</w:t>
      </w:r>
    </w:p>
    <w:p>
      <w:pPr>
        <w:pStyle w:val="TextBody"/>
        <w:bidi w:val="0"/>
        <w:jc w:val="left"/>
        <w:rPr>
          <w:rFonts w:ascii="Arial" w:hAnsi="Arial"/>
          <w:color w:val="000000"/>
          <w:sz w:val="20"/>
        </w:rPr>
      </w:pPr>
      <w:r>
        <w:rPr>
          <w:rFonts w:ascii="Arial" w:hAnsi="Arial"/>
          <w:color w:val="000000"/>
          <w:sz w:val="20"/>
        </w:rPr>
        <w:t>aTyr Pharma, Inc.</w:t>
      </w:r>
    </w:p>
    <w:p>
      <w:pPr>
        <w:pStyle w:val="TextBody"/>
        <w:bidi w:val="0"/>
        <w:jc w:val="left"/>
        <w:rPr>
          <w:rFonts w:ascii="Arial" w:hAnsi="Arial"/>
          <w:color w:val="000000"/>
          <w:sz w:val="20"/>
        </w:rPr>
      </w:pPr>
      <w:r>
        <w:rPr>
          <w:rFonts w:ascii="Arial" w:hAnsi="Arial"/>
          <w:color w:val="000000"/>
          <w:sz w:val="20"/>
        </w:rPr>
        <w:t>10240 Sorrento Valley Road, Suite 300</w:t>
      </w:r>
    </w:p>
    <w:p>
      <w:pPr>
        <w:pStyle w:val="TextBody"/>
        <w:bidi w:val="0"/>
        <w:jc w:val="left"/>
        <w:rPr>
          <w:rFonts w:ascii="Arial" w:hAnsi="Arial"/>
          <w:color w:val="000000"/>
          <w:sz w:val="20"/>
        </w:rPr>
      </w:pPr>
      <w:r>
        <w:rPr>
          <w:rFonts w:ascii="Arial" w:hAnsi="Arial"/>
          <w:color w:val="000000"/>
          <w:sz w:val="20"/>
        </w:rPr>
        <w:t>San Diego, CA 92121</w:t>
      </w:r>
    </w:p>
    <w:p>
      <w:pPr>
        <w:pStyle w:val="TextBody"/>
        <w:bidi w:val="0"/>
        <w:jc w:val="both"/>
        <w:rPr/>
      </w:pPr>
      <w:r>
        <w:rPr/>
        <w:t> </w:t>
      </w:r>
    </w:p>
    <w:p>
      <w:pPr>
        <w:pStyle w:val="TextBody"/>
        <w:bidi w:val="0"/>
        <w:spacing w:before="0" w:after="160"/>
        <w:jc w:val="both"/>
        <w:rPr>
          <w:rFonts w:ascii="Arial" w:hAnsi="Arial"/>
          <w:color w:val="000000"/>
          <w:sz w:val="20"/>
        </w:rPr>
      </w:pPr>
      <w:r>
        <w:rPr>
          <w:rFonts w:ascii="Arial" w:hAnsi="Arial"/>
          <w:color w:val="000000"/>
          <w:sz w:val="20"/>
        </w:rPr>
        <w:t>Ladies and Gentlemen:</w:t>
      </w:r>
    </w:p>
    <w:p>
      <w:pPr>
        <w:pStyle w:val="TextBody"/>
        <w:bidi w:val="0"/>
        <w:jc w:val="both"/>
        <w:rPr>
          <w:rFonts w:ascii="Times New Roman" w:hAnsi="Times New Roman"/>
          <w:sz w:val="20"/>
        </w:rPr>
      </w:pPr>
      <w:r>
        <w:rPr>
          <w:rFonts w:ascii="Arial" w:hAnsi="Arial"/>
          <w:color w:val="000000"/>
          <w:sz w:val="20"/>
        </w:rPr>
        <w:t>We have acted as counsel to aTyr Pharma, Inc., a Delaware corporation (the “</w:t>
      </w:r>
      <w:r>
        <w:rPr>
          <w:rFonts w:ascii="Arial" w:hAnsi="Arial"/>
          <w:b/>
          <w:i/>
          <w:color w:val="000000"/>
          <w:sz w:val="20"/>
        </w:rPr>
        <w:t>Company</w:t>
      </w:r>
      <w:r>
        <w:rPr>
          <w:rFonts w:ascii="Times New Roman" w:hAnsi="Times New Roman"/>
          <w:color w:val="000000"/>
          <w:sz w:val="20"/>
        </w:rPr>
        <w:t>”</w:t>
      </w:r>
      <w:r>
        <w:rPr>
          <w:rFonts w:ascii="Arial" w:hAnsi="Arial"/>
          <w:color w:val="000000"/>
          <w:sz w:val="20"/>
        </w:rPr>
        <w:t>), in connection with the filing by the Company of a registration statement on Form S-8 (the “</w:t>
      </w:r>
      <w:r>
        <w:rPr>
          <w:rFonts w:ascii="Arial" w:hAnsi="Arial"/>
          <w:b/>
          <w:i/>
          <w:color w:val="000000"/>
          <w:sz w:val="20"/>
        </w:rPr>
        <w:t>Registration Statement</w:t>
      </w:r>
      <w:r>
        <w:rPr>
          <w:rFonts w:ascii="Times New Roman" w:hAnsi="Times New Roman"/>
          <w:color w:val="000000"/>
          <w:sz w:val="20"/>
        </w:rPr>
        <w:t>”</w:t>
      </w:r>
      <w:r>
        <w:rPr>
          <w:rFonts w:ascii="Arial" w:hAnsi="Arial"/>
          <w:color w:val="000000"/>
          <w:sz w:val="20"/>
        </w:rPr>
        <w:t>) with the Securities and Exchange Commission (the “</w:t>
      </w:r>
      <w:r>
        <w:rPr>
          <w:rFonts w:ascii="Arial" w:hAnsi="Arial"/>
          <w:b/>
          <w:i/>
          <w:color w:val="000000"/>
          <w:sz w:val="20"/>
        </w:rPr>
        <w:t>Commission</w:t>
      </w:r>
      <w:r>
        <w:rPr>
          <w:rFonts w:ascii="Times New Roman" w:hAnsi="Times New Roman"/>
          <w:color w:val="000000"/>
          <w:sz w:val="20"/>
        </w:rPr>
        <w:t>”</w:t>
      </w:r>
      <w:r>
        <w:rPr>
          <w:rFonts w:ascii="Arial" w:hAnsi="Arial"/>
          <w:color w:val="000000"/>
          <w:sz w:val="20"/>
        </w:rPr>
        <w:t>) covering the offering of up to 4,000,000 shares (the “</w:t>
      </w:r>
      <w:r>
        <w:rPr>
          <w:rFonts w:ascii="Arial" w:hAnsi="Arial"/>
          <w:b/>
          <w:i/>
          <w:color w:val="000000"/>
          <w:sz w:val="20"/>
        </w:rPr>
        <w:t>Shares</w:t>
      </w:r>
      <w:r>
        <w:rPr>
          <w:rFonts w:ascii="Times New Roman" w:hAnsi="Times New Roman"/>
          <w:color w:val="000000"/>
          <w:sz w:val="20"/>
        </w:rPr>
        <w:t>”</w:t>
      </w:r>
      <w:r>
        <w:rPr>
          <w:rFonts w:ascii="Arial" w:hAnsi="Arial"/>
          <w:color w:val="000000"/>
          <w:sz w:val="20"/>
        </w:rPr>
        <w:t>) of the Company’s common stock, $0.001 par value per share (“</w:t>
      </w:r>
      <w:r>
        <w:rPr>
          <w:rFonts w:ascii="Arial" w:hAnsi="Arial"/>
          <w:b/>
          <w:i/>
          <w:color w:val="000000"/>
          <w:sz w:val="20"/>
        </w:rPr>
        <w:t>Common Stock</w:t>
      </w:r>
      <w:r>
        <w:rPr>
          <w:rFonts w:ascii="Times New Roman" w:hAnsi="Times New Roman"/>
          <w:color w:val="000000"/>
          <w:sz w:val="20"/>
        </w:rPr>
        <w:t>”</w:t>
      </w:r>
      <w:r>
        <w:rPr>
          <w:rFonts w:ascii="Arial" w:hAnsi="Arial"/>
          <w:color w:val="000000"/>
          <w:sz w:val="20"/>
        </w:rPr>
        <w:t>) issuable pursuant to the Company’s 2015 Stock Option and Incentive Plan, as amended (the “</w:t>
      </w:r>
      <w:r>
        <w:rPr>
          <w:rFonts w:ascii="Arial" w:hAnsi="Arial"/>
          <w:b/>
          <w:i/>
          <w:color w:val="000000"/>
          <w:sz w:val="20"/>
        </w:rPr>
        <w:t>Plan</w:t>
      </w:r>
      <w:r>
        <w:rPr>
          <w:rFonts w:ascii="Times New Roman" w:hAnsi="Times New Roman"/>
          <w:color w:val="000000"/>
          <w:sz w:val="20"/>
        </w:rPr>
        <w:t>”</w:t>
      </w:r>
      <w:r>
        <w:rPr>
          <w:rFonts w:ascii="Arial" w:hAnsi="Arial"/>
          <w:color w:val="000000"/>
          <w:sz w:val="20"/>
        </w:rPr>
        <w:t>).</w:t>
      </w:r>
    </w:p>
    <w:p>
      <w:pPr>
        <w:pStyle w:val="TextBody"/>
        <w:bidi w:val="0"/>
        <w:jc w:val="both"/>
        <w:rPr>
          <w:rFonts w:ascii="Arial" w:hAnsi="Arial"/>
          <w:color w:val="000000"/>
          <w:sz w:val="20"/>
        </w:rPr>
      </w:pPr>
      <w:r>
        <w:rPr>
          <w:rFonts w:ascii="Arial" w:hAnsi="Arial"/>
          <w:color w:val="000000"/>
          <w:sz w:val="20"/>
        </w:rPr>
        <w:t>In connection with this opinion, we have examined and relied upon the Registration Statement and the related prospectus, the Plan, the Company’s certificate of incorporation and bylaws, each as currently in effect, and such other records, documents,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by the Company. As to certain factual matters, we have relied upon a certificate of an officer of the Company and have not independently verified such matters.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On the basis of the foregoing, and in reliance thereon, we are of the opinion that the Shares, when sold and issued in accordance with the Plan, and the Registration Statement and related prospectus, will be validly issued, fully paid and nonassessable (except as to Shares issued pursuant to deferred payment arrangements, which will be fully paid and nonassessable when such deferred payments are made in full).</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spacing w:before="160" w:after="160"/>
        <w:jc w:val="both"/>
        <w:rPr>
          <w:rFonts w:ascii="Arial" w:hAnsi="Arial"/>
          <w:color w:val="000000"/>
          <w:sz w:val="20"/>
        </w:rPr>
      </w:pPr>
      <w:r>
        <w:rPr>
          <w:rFonts w:ascii="Arial" w:hAnsi="Arial"/>
          <w:color w:val="000000"/>
          <w:sz w:val="20"/>
        </w:rPr>
        <w:t>Sincerely,</w:t>
      </w:r>
    </w:p>
    <w:p>
      <w:pPr>
        <w:pStyle w:val="TextBody"/>
        <w:bidi w:val="0"/>
        <w:spacing w:before="0" w:after="160"/>
        <w:jc w:val="both"/>
        <w:rPr>
          <w:rFonts w:ascii="Arial" w:hAnsi="Arial"/>
          <w:color w:val="000000"/>
          <w:sz w:val="20"/>
        </w:rPr>
      </w:pPr>
      <w:r>
        <w:rPr>
          <w:rFonts w:ascii="Arial" w:hAnsi="Arial"/>
          <w:color w:val="000000"/>
          <w:sz w:val="20"/>
        </w:rPr>
        <w:t>Cooley LLP</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By: _</w:t>
      </w:r>
      <w:r>
        <w:rPr>
          <w:rFonts w:ascii="Arial" w:hAnsi="Arial"/>
          <w:color w:val="000000"/>
          <w:sz w:val="20"/>
          <w:u w:val="single"/>
        </w:rPr>
        <w:t>/s/ Charles J. Bair</w:t>
      </w:r>
      <w:r>
        <w:rPr>
          <w:rFonts w:ascii="Arial" w:hAnsi="Arial"/>
          <w:color w:val="000000"/>
          <w:sz w:val="20"/>
        </w:rPr>
        <w:t>______________</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Charles J. Bair</w:t>
      </w:r>
    </w:p>
    <w:p>
      <w:pPr>
        <w:pStyle w:val="TextBody"/>
        <w:bidi w:val="0"/>
        <w:jc w:val="center"/>
        <w:rPr>
          <w:rFonts w:ascii="Times New Roman" w:hAnsi="Times New Roman"/>
          <w:sz w:val="20"/>
        </w:rPr>
      </w:pPr>
      <w:r>
        <w:rPr>
          <w:rFonts w:ascii="Arial" w:hAnsi="Arial"/>
          <w:color w:val="000000"/>
          <w:sz w:val="16"/>
        </w:rPr>
        <w:t>Cooley LLP 10265 Science Center Drive San Diego, CA 92121</w:t>
        <w:br/>
        <w:t>T: (858) 550-6000 F: (858) 550-6420 cooley.com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333333"/>
          <w:sz w:val="20"/>
        </w:rPr>
      </w:pPr>
      <w:bookmarkStart w:id="5" w:name="atyr-ex23_2.htm"/>
      <w:bookmarkStart w:id="6" w:name="ksatyrex23_2"/>
      <w:bookmarkEnd w:id="5"/>
      <w:bookmarkEnd w:id="6"/>
      <w:r>
        <w:rPr>
          <w:rFonts w:ascii="Times New Roman" w:hAnsi="Times New Roman"/>
          <w:b/>
          <w:color w:val="333333"/>
          <w:sz w:val="20"/>
        </w:rPr>
        <w:t>Exhibit 23.2</w:t>
      </w:r>
      <w:r>
        <w:br w:type="page"/>
      </w:r>
    </w:p>
    <w:p>
      <w:pPr>
        <w:pStyle w:val="TextBody"/>
        <w:bidi w:val="0"/>
        <w:jc w:val="center"/>
        <w:rPr/>
      </w:pPr>
      <w:r>
        <w:rPr/>
        <w:t> </w:t>
      </w:r>
    </w:p>
    <w:p>
      <w:pPr>
        <w:pStyle w:val="TextBody"/>
        <w:bidi w:val="0"/>
        <w:jc w:val="center"/>
        <w:rPr>
          <w:rFonts w:ascii="Times New Roman" w:hAnsi="Times New Roman"/>
          <w:b/>
          <w:color w:val="333333"/>
          <w:sz w:val="20"/>
        </w:rPr>
      </w:pPr>
      <w:r>
        <w:rPr>
          <w:rFonts w:ascii="Times New Roman" w:hAnsi="Times New Roman"/>
          <w:b/>
          <w:color w:val="333333"/>
          <w:sz w:val="20"/>
        </w:rPr>
        <w:t>Consent of Independent Registered Public Accounting Firm</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We consent to the incorporation by reference in the Registration Statement (Form S-8) pertaining to the aTyr Pharma, Inc. 2015 Stock Option and Incentive Plan, as amended, of our report dated March 5, 2026, with respect to the consolidated financial statements of aTyr Pharma, Inc. included in its Annual Report (Form 10-K) for the year ended December 31, 2025, filed with the Securities and Exchange Commission.</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/s/ Ernst &amp; Young LLP</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San Diego, California</w:t>
      </w:r>
    </w:p>
    <w:p>
      <w:pPr>
        <w:pStyle w:val="TextBody"/>
        <w:bidi w:val="0"/>
        <w:jc w:val="left"/>
        <w:rPr>
          <w:rFonts w:ascii="Times New Roman" w:hAnsi="Times New Roman"/>
          <w:color w:val="333333"/>
          <w:sz w:val="20"/>
        </w:rPr>
      </w:pPr>
      <w:r>
        <w:rPr>
          <w:rFonts w:ascii="Times New Roman" w:hAnsi="Times New Roman"/>
          <w:color w:val="333333"/>
          <w:sz w:val="20"/>
        </w:rPr>
        <w:t>August 7, 2026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7" w:name="atyr-exfiling_fees.htm"/>
      <w:bookmarkStart w:id="8" w:name="ksatyrexfiling_fees"/>
      <w:bookmarkStart w:id="9" w:name="atyr-exfiling_fees.htm"/>
      <w:bookmarkStart w:id="10" w:name="ksatyrexfiling_fees"/>
      <w:bookmarkEnd w:id="9"/>
      <w:bookmarkEnd w:id="10"/>
      <w:r>
        <w:br w:type="page"/>
      </w:r>
    </w:p>
    <w:tbl>
      <w:tblPr>
        <w:tblW w:w="3573" w:type="dxa"/>
        <w:jc w:val="left"/>
        <w:tblInd w:w="0" w:type="dxa"/>
        <w:tblLayout w:type="fixed"/>
        <w:tblCellMar>
          <w:top w:w="28" w:type="dxa"/>
          <w:left w:w="28" w:type="dxa"/>
          <w:bottom w:w="28" w:type="dxa"/>
          <w:right w:w="28" w:type="dxa"/>
        </w:tblCellMar>
      </w:tblPr>
      <w:tblGrid>
        <w:gridCol w:w="3419"/>
        <w:gridCol w:w="154"/>
      </w:tblGrid>
      <w:tr>
        <w:trPr/>
        <w:tc>
          <w:tcPr>
            <w:tcW w:w="357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9"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9" w:type="dxa"/>
            <w:tcBorders/>
            <w:vAlign w:val="center"/>
          </w:tcPr>
          <w:p>
            <w:pPr>
              <w:pStyle w:val="TableContents"/>
              <w:bidi w:val="0"/>
              <w:spacing w:before="0" w:after="283"/>
              <w:jc w:val="left"/>
              <w:rPr>
                <w:b/>
              </w:rPr>
            </w:pPr>
            <w:r>
              <w:rPr>
                <w:b/>
              </w:rPr>
              <w:t xml:space="preserve">aTYR PHARMA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5"/>
        <w:gridCol w:w="1025"/>
        <w:gridCol w:w="1306"/>
        <w:gridCol w:w="1214"/>
        <w:gridCol w:w="1261"/>
        <w:gridCol w:w="1614"/>
        <w:gridCol w:w="1127"/>
        <w:gridCol w:w="1451"/>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5"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6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1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5" w:type="dxa"/>
            <w:tcBorders/>
            <w:shd w:fill="E7E7E2" w:val="clear"/>
            <w:vAlign w:val="center"/>
          </w:tcPr>
          <w:p>
            <w:pPr>
              <w:pStyle w:val="TableContents"/>
              <w:bidi w:val="0"/>
              <w:spacing w:before="0" w:after="283"/>
              <w:jc w:val="left"/>
              <w:rPr/>
            </w:pPr>
            <w:r>
              <w:rPr/>
              <w:t xml:space="preserve">Equity </w:t>
            </w:r>
          </w:p>
        </w:tc>
        <w:tc>
          <w:tcPr>
            <w:tcW w:w="1025" w:type="dxa"/>
            <w:tcBorders/>
            <w:shd w:fill="E7E7E2" w:val="clear"/>
            <w:vAlign w:val="center"/>
          </w:tcPr>
          <w:p>
            <w:pPr>
              <w:pStyle w:val="TableContents"/>
              <w:bidi w:val="0"/>
              <w:spacing w:before="0" w:after="283"/>
              <w:jc w:val="left"/>
              <w:rPr/>
            </w:pPr>
            <w:r>
              <w:rPr/>
              <w:t xml:space="preserve">Common Stock </w:t>
            </w:r>
          </w:p>
        </w:tc>
        <w:tc>
          <w:tcPr>
            <w:tcW w:w="1306" w:type="dxa"/>
            <w:tcBorders/>
            <w:shd w:fill="E7E7E2" w:val="clear"/>
            <w:vAlign w:val="center"/>
          </w:tcPr>
          <w:p>
            <w:pPr>
              <w:pStyle w:val="TableContents"/>
              <w:bidi w:val="0"/>
              <w:spacing w:before="0" w:after="283"/>
              <w:jc w:val="center"/>
              <w:rPr/>
            </w:pPr>
            <w:r>
              <w:rPr/>
              <w:t xml:space="preserve">Other </w:t>
            </w:r>
          </w:p>
        </w:tc>
        <w:tc>
          <w:tcPr>
            <w:tcW w:w="1214" w:type="dxa"/>
            <w:tcBorders/>
            <w:shd w:fill="E7E7E2" w:val="clear"/>
            <w:vAlign w:val="center"/>
          </w:tcPr>
          <w:p>
            <w:pPr>
              <w:pStyle w:val="TableContents"/>
              <w:bidi w:val="0"/>
              <w:spacing w:before="0" w:after="283"/>
              <w:jc w:val="right"/>
              <w:rPr/>
            </w:pPr>
            <w:r>
              <w:rPr/>
              <w:t xml:space="preserve">4,000,000 </w:t>
            </w:r>
          </w:p>
        </w:tc>
        <w:tc>
          <w:tcPr>
            <w:tcW w:w="1261" w:type="dxa"/>
            <w:tcBorders/>
            <w:shd w:fill="E7E7E2" w:val="clear"/>
            <w:vAlign w:val="center"/>
          </w:tcPr>
          <w:p>
            <w:pPr>
              <w:pStyle w:val="TableContents"/>
              <w:bidi w:val="0"/>
              <w:spacing w:before="0" w:after="283"/>
              <w:jc w:val="right"/>
              <w:rPr/>
            </w:pPr>
            <w:r>
              <w:rPr/>
              <w:t xml:space="preserve">$ 0.495 </w:t>
            </w:r>
          </w:p>
        </w:tc>
        <w:tc>
          <w:tcPr>
            <w:tcW w:w="1614" w:type="dxa"/>
            <w:tcBorders/>
            <w:shd w:fill="E7E7E2" w:val="clear"/>
            <w:vAlign w:val="center"/>
          </w:tcPr>
          <w:p>
            <w:pPr>
              <w:pStyle w:val="TableContents"/>
              <w:bidi w:val="0"/>
              <w:spacing w:before="0" w:after="283"/>
              <w:jc w:val="right"/>
              <w:rPr/>
            </w:pPr>
            <w:r>
              <w:rPr/>
              <w:t xml:space="preserve">$ 1,980,000.00 </w:t>
            </w:r>
          </w:p>
        </w:tc>
        <w:tc>
          <w:tcPr>
            <w:tcW w:w="1127" w:type="dxa"/>
            <w:tcBorders/>
            <w:shd w:fill="E7E7E2" w:val="clear"/>
            <w:vAlign w:val="center"/>
          </w:tcPr>
          <w:p>
            <w:pPr>
              <w:pStyle w:val="TableContents"/>
              <w:bidi w:val="0"/>
              <w:spacing w:before="0" w:after="283"/>
              <w:jc w:val="right"/>
              <w:rPr/>
            </w:pPr>
            <w:r>
              <w:rPr/>
              <w:t xml:space="preserve">0.0001381 </w:t>
            </w:r>
          </w:p>
        </w:tc>
        <w:tc>
          <w:tcPr>
            <w:tcW w:w="1451" w:type="dxa"/>
            <w:tcBorders/>
            <w:shd w:fill="E7E7E2" w:val="clear"/>
            <w:vAlign w:val="center"/>
          </w:tcPr>
          <w:p>
            <w:pPr>
              <w:pStyle w:val="TableContents"/>
              <w:bidi w:val="0"/>
              <w:spacing w:before="0" w:after="283"/>
              <w:jc w:val="right"/>
              <w:rPr/>
            </w:pPr>
            <w:r>
              <w:rPr/>
              <w:t xml:space="preserve">$ 273.44 </w:t>
            </w:r>
          </w:p>
        </w:tc>
      </w:tr>
      <w:tr>
        <w:trPr/>
        <w:tc>
          <w:tcPr>
            <w:tcW w:w="4752" w:type="dxa"/>
            <w:gridSpan w:val="5"/>
            <w:tcBorders/>
            <w:vAlign w:val="center"/>
          </w:tcPr>
          <w:p>
            <w:pPr>
              <w:pStyle w:val="TableContents"/>
              <w:bidi w:val="0"/>
              <w:spacing w:before="0" w:after="0"/>
              <w:ind w:left="0" w:right="0" w:hanging="0"/>
              <w:jc w:val="right"/>
              <w:rPr/>
            </w:pPr>
            <w:r>
              <w:rPr/>
              <w:t>Total Offering Amounts:</w:t>
            </w:r>
          </w:p>
        </w:tc>
        <w:tc>
          <w:tcPr>
            <w:tcW w:w="126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0"/>
              <w:ind w:left="0" w:right="0" w:hanging="0"/>
              <w:jc w:val="right"/>
              <w:rPr/>
            </w:pPr>
            <w:bookmarkStart w:id="11" w:name="MaxAggtOfferingPrice"/>
            <w:bookmarkEnd w:id="11"/>
            <w:r>
              <w:rPr/>
              <w:t xml:space="preserve">$ 1,980,000.00 </w:t>
            </w:r>
          </w:p>
        </w:tc>
        <w:tc>
          <w:tcPr>
            <w:tcW w:w="1127" w:type="dxa"/>
            <w:tcBorders/>
            <w:vAlign w:val="center"/>
          </w:tcPr>
          <w:p>
            <w:pPr>
              <w:pStyle w:val="TableContents"/>
              <w:bidi w:val="0"/>
              <w:spacing w:before="0" w:after="283"/>
              <w:jc w:val="left"/>
              <w:rPr>
                <w:sz w:val="4"/>
                <w:szCs w:val="4"/>
              </w:rPr>
            </w:pPr>
            <w:r>
              <w:rPr>
                <w:sz w:val="4"/>
                <w:szCs w:val="4"/>
              </w:rPr>
            </w:r>
          </w:p>
        </w:tc>
        <w:tc>
          <w:tcPr>
            <w:tcW w:w="14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$ 273.44 </w:t>
            </w:r>
          </w:p>
        </w:tc>
      </w:tr>
      <w:tr>
        <w:trPr/>
        <w:tc>
          <w:tcPr>
            <w:tcW w:w="4752" w:type="dxa"/>
            <w:gridSpan w:val="5"/>
            <w:tcBorders/>
            <w:vAlign w:val="center"/>
          </w:tcPr>
          <w:p>
            <w:pPr>
              <w:pStyle w:val="TableContents"/>
              <w:bidi w:val="0"/>
              <w:spacing w:before="0" w:after="0"/>
              <w:ind w:left="0" w:right="0" w:hanging="0"/>
              <w:jc w:val="right"/>
              <w:rPr/>
            </w:pPr>
            <w:r>
              <w:rPr/>
              <w:t xml:space="preserve">Total Fee Offsets: </w:t>
            </w:r>
          </w:p>
        </w:tc>
        <w:tc>
          <w:tcPr>
            <w:tcW w:w="126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52" w:type="dxa"/>
            <w:gridSpan w:val="5"/>
            <w:tcBorders/>
            <w:vAlign w:val="center"/>
          </w:tcPr>
          <w:p>
            <w:pPr>
              <w:pStyle w:val="TableContents"/>
              <w:bidi w:val="0"/>
              <w:spacing w:before="0" w:after="0"/>
              <w:ind w:left="0" w:right="0" w:hanging="0"/>
              <w:jc w:val="right"/>
              <w:rPr/>
            </w:pPr>
            <w:r>
              <w:rPr/>
              <w:t xml:space="preserve">Net Fee Due: </w:t>
            </w:r>
          </w:p>
        </w:tc>
        <w:tc>
          <w:tcPr>
            <w:tcW w:w="126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0"/>
              <w:ind w:left="0" w:right="0" w:hanging="0"/>
              <w:jc w:val="right"/>
              <w:rPr/>
            </w:pPr>
            <w:bookmarkStart w:id="14" w:name="NetFeeAmt"/>
            <w:bookmarkEnd w:id="14"/>
            <w:r>
              <w:rPr/>
              <w:t xml:space="preserve">$ 273.44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5"/>
        <w:gridCol w:w="8711"/>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on Form S-8 (this Registration Statement) shall also cover any additional shares of common stock, par value $0.001 per share (Common Stock), of aTyr Pharma, Inc. (the Registrant) that become issuable under the aTyr Pharma, Inc. 2015 Stock Option and Incentive Plan, as amended (the 2015 Plan), by reason of any stock dividend, stock split, recapitalization or other similar transaction. The proposed maximum offering price per unit and proposed maximum aggregate offering price are estimated pursuant to Rule 457(h) and Rule 457(c) under the Securities Act solely for purposes of calculating the registration fee, which is calculated using the average of the high and low prices of the Common Stock on August 3, 2026, as reported on the Nasdaq Capital Market, which date is within five business days prior to the filing of this Registration Statement. The number of shares being registered represents 4,000,000 additional shares of Common Stock reserved and available for issuance under the 2015 Plan, as approved by the Registrant's stockholders at its annual meeting of stockholders on May 11, 2026 (the 2026 Annual Meeting). At the 2026 Annual Meeting, the Registrant's stockholders approved an amendment to the 2015 Plan to increase the maximum number of shares of Common Stock reserved and available for issuance under the 2015 Plan by 4,000,000 to 19,725,101.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39970/000119312515177251/d921783ds8.htm" TargetMode="External"/><Relationship Id="rId3" Type="http://schemas.openxmlformats.org/officeDocument/2006/relationships/hyperlink" Target="https://www.sec.gov/Archives/edgar/data/1339970/000156459016015797/life-s8_20160401.htm" TargetMode="External"/><Relationship Id="rId4" Type="http://schemas.openxmlformats.org/officeDocument/2006/relationships/hyperlink" Target="https://www.sec.gov/Archives/edgar/data/1339970/000156459017005005/life-s8.htm" TargetMode="External"/><Relationship Id="rId5" Type="http://schemas.openxmlformats.org/officeDocument/2006/relationships/hyperlink" Target="https://www.sec.gov/Archives/edgar/data/1339970/000156459018006614/life-s8.htm" TargetMode="External"/><Relationship Id="rId6" Type="http://schemas.openxmlformats.org/officeDocument/2006/relationships/hyperlink" Target="https://www.sec.gov/Archives/edgar/data/1339970/000156459019019755/life-s8.htm" TargetMode="External"/><Relationship Id="rId7" Type="http://schemas.openxmlformats.org/officeDocument/2006/relationships/hyperlink" Target="https://www.sec.gov/Archives/edgar/data/1339970/000156459020040458/life-s8.htm" TargetMode="External"/><Relationship Id="rId8" Type="http://schemas.openxmlformats.org/officeDocument/2006/relationships/hyperlink" Target="https://www.sec.gov/Archives/edgar/data/1339970/000156459021028035/life-s8.htm" TargetMode="External"/><Relationship Id="rId9" Type="http://schemas.openxmlformats.org/officeDocument/2006/relationships/hyperlink" Target="https://www.sec.gov/Archives/edgar/data/1339970/000156459022019562/life-s8.htm" TargetMode="External"/><Relationship Id="rId10" Type="http://schemas.openxmlformats.org/officeDocument/2006/relationships/hyperlink" Target="https://www.sec.gov/Archives/edgar/data/1339970/000095017023041306/2023_s-8.htm" TargetMode="External"/><Relationship Id="rId11" Type="http://schemas.openxmlformats.org/officeDocument/2006/relationships/hyperlink" Target="https://www.sec.gov/Archives/edgar/data/1339970/000095017024096360/2024_s-8.htm" TargetMode="External"/><Relationship Id="rId12" Type="http://schemas.openxmlformats.org/officeDocument/2006/relationships/hyperlink" Target="https://www.sec.gov/Archives/edgar/data/1339970/000133997025000013/atyr-20250807.htm" TargetMode="External"/><Relationship Id="rId13" Type="http://schemas.openxmlformats.org/officeDocument/2006/relationships/hyperlink" Target="https://www.sec.gov/Archives/edgar/data/1339970/000119312515173955/d917258d8a12b.htm" TargetMode="External"/><Relationship Id="rId14" Type="http://schemas.openxmlformats.org/officeDocument/2006/relationships/hyperlink" Target="https://www.sec.gov/Archives/edgar/data/1339970/000095017024031584/life-ex4_6.htm" TargetMode="External"/><Relationship Id="rId15" Type="http://schemas.openxmlformats.org/officeDocument/2006/relationships/hyperlink" Target="https://www.sec.gov/Archives/edgar/data/1339970/000095017022024724/life-ex3_1.htm" TargetMode="External"/><Relationship Id="rId16" Type="http://schemas.openxmlformats.org/officeDocument/2006/relationships/hyperlink" Target="https://www.sec.gov/Archives/edgar/data/1339970/000156459019024064/life-ex31_7.htm" TargetMode="External"/><Relationship Id="rId17" Type="http://schemas.openxmlformats.org/officeDocument/2006/relationships/hyperlink" Target="https://www.sec.gov/Archives/edgar/data/1339970/000156459020024729/life-ex33_130.htm" TargetMode="External"/><Relationship Id="rId18" Type="http://schemas.openxmlformats.org/officeDocument/2006/relationships/hyperlink" Target="https://www.sec.gov/Archives/edgar/data/1339970/000156459021023319/life-ex31_14.htm" TargetMode="External"/><Relationship Id="rId19" Type="http://schemas.openxmlformats.org/officeDocument/2006/relationships/hyperlink" Target="https://www.sec.gov/Archives/edgar/data/1339970/000156459022016548/life-ex31_8.htm" TargetMode="External"/><Relationship Id="rId20" Type="http://schemas.openxmlformats.org/officeDocument/2006/relationships/hyperlink" Target="https://www.sec.gov/Archives/edgar/data/1339970/000095017023023257/life-ex3_1.htm" TargetMode="External"/><Relationship Id="rId21" Type="http://schemas.openxmlformats.org/officeDocument/2006/relationships/hyperlink" Target="https://www.sec.gov/Archives/edgar/data/1339970/000133997026000033/atyr-ex3_7.htm" TargetMode="External"/><Relationship Id="rId22" Type="http://schemas.openxmlformats.org/officeDocument/2006/relationships/hyperlink" Target="https://www.sec.gov/Archives/edgar/data/1339970/000095017022024724/life-ex3_6.htm" TargetMode="External"/><Relationship Id="rId23" Type="http://schemas.openxmlformats.org/officeDocument/2006/relationships/hyperlink" Target="https://www.sec.gov/Archives/edgar/data/1339970/000119312515148013/d819057dex41.htm" TargetMode="External"/><Relationship Id="rId24" Type="http://schemas.openxmlformats.org/officeDocument/2006/relationships/hyperlink" Target="https://www.sec.gov/Archives/edgar/data/1339970/000119312515148013/d819057dex41.htm" TargetMode="External"/><Relationship Id="rId25" Type="http://schemas.openxmlformats.org/officeDocument/2006/relationships/hyperlink" Target="https://www.sec.gov/Archives/edgar/data/1339970/000119312515148013/d819057dex41.htm" TargetMode="External"/><Relationship Id="rId26" Type="http://schemas.openxmlformats.org/officeDocument/2006/relationships/hyperlink" Target="https://www.sec.gov/Archives/edgar/data/1339970/000119312515148013/d819057dex41.htm" TargetMode="External"/><Relationship Id="rId27" Type="http://schemas.openxmlformats.org/officeDocument/2006/relationships/hyperlink" Target="https://www.sec.gov/Archives/edgar/data/1339970/000119312515148013/d819057dex41.htm" TargetMode="External"/><Relationship Id="rId28" Type="http://schemas.openxmlformats.org/officeDocument/2006/relationships/hyperlink" Target="https://www.sec.gov/Archives/edgar/data/1339970/000119312515148013/d819057dex41.htm" TargetMode="External"/><Relationship Id="rId29" Type="http://schemas.openxmlformats.org/officeDocument/2006/relationships/hyperlink" Target="https://www.sec.gov/Archives/edgar/data/1339970/000119312515148013/d819057dex41.htm" TargetMode="External"/><Relationship Id="rId30" Type="http://schemas.openxmlformats.org/officeDocument/2006/relationships/hyperlink" Target="https://www.sec.gov/Archives/edgar/data/1339970/000133997026000033/atyr-ex10_1.htm" TargetMode="External"/><Relationship Id="rId31" Type="http://schemas.openxmlformats.org/officeDocument/2006/relationships/image" Target="media/image1.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2229</Words>
  <Characters>11849</Characters>
  <CharactersWithSpaces>14016</CharactersWithSpaces>
  <Paragraphs>382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