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BENEVICH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aTYR PHARMA INC</w:t>
              </w:r>
            </w:hyperlink>
            <w:r>
              <w:rPr/>
              <w:t xml:space="preserve"> [ </w:t>
            </w:r>
            <w:r>
              <w:rPr>
                <w:rFonts w:ascii="Times;serif" w:hAnsi="Times;serif"/>
                <w:color w:val="0000FF"/>
                <w:sz w:val="24"/>
                <w:shd w:fill="FFFFFF" w:val="clear"/>
              </w:rPr>
              <w:t>ATYR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granted pursuant to the Issuer's non-employee director compensation policy, vests in full on the earlier of (i) May 11, 2027 or (ii) the Issuer's 2027 Annual Meeting of Stockholders, subject to the Reporting Person's continued service on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Nancy E. Denyes,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653" TargetMode="External"/><Relationship Id="rId5" Type="http://schemas.openxmlformats.org/officeDocument/2006/relationships/hyperlink" Target="http://www.sec.gov/cgi-bin/browse-edgar?action=getcompany&amp;CIK=00013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3317</Characters>
  <CharactersWithSpaces>3868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