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1005840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190500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201930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ATYR PHARMA,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660" w:type="dxa"/>
        <w:tblCellMar>
          <w:top w:w="0" w:type="dxa"/>
          <w:left w:w="0" w:type="dxa"/>
          <w:bottom w:w="0" w:type="dxa"/>
          <w:right w:w="0" w:type="dxa"/>
        </w:tblCellMar>
      </w:tblPr>
      <w:tr>
        <w:trPr>
          <w:trHeight w:val="222"/>
        </w:trPr>
        <w:tc>
          <w:tcPr>
            <w:tcW w:w="366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60" w:type="dxa"/>
            <w:vAlign w:val="bottom"/>
          </w:tcPr>
          <w:p>
            <w:pPr>
              <w:jc w:val="right"/>
              <w:ind w:right="1501"/>
              <w:spacing w:after="0"/>
              <w:rPr>
                <w:sz w:val="20"/>
                <w:szCs w:val="20"/>
                <w:color w:val="auto"/>
              </w:rPr>
            </w:pPr>
            <w:r>
              <w:rPr>
                <w:rFonts w:ascii="Times New Roman" w:cs="Times New Roman" w:eastAsia="Times New Roman" w:hAnsi="Times New Roman"/>
                <w:sz w:val="18"/>
                <w:szCs w:val="18"/>
                <w:b w:val="1"/>
                <w:bCs w:val="1"/>
                <w:color w:val="auto"/>
              </w:rPr>
              <w:t>001-37378</w:t>
            </w:r>
          </w:p>
        </w:tc>
        <w:tc>
          <w:tcPr>
            <w:tcW w:w="22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20-3435077</w:t>
            </w:r>
          </w:p>
        </w:tc>
        <w:tc>
          <w:tcPr>
            <w:tcW w:w="0" w:type="dxa"/>
            <w:vAlign w:val="bottom"/>
          </w:tcPr>
          <w:p>
            <w:pPr>
              <w:spacing w:after="0"/>
              <w:rPr>
                <w:sz w:val="1"/>
                <w:szCs w:val="1"/>
                <w:color w:val="auto"/>
              </w:rPr>
            </w:pPr>
          </w:p>
        </w:tc>
      </w:tr>
      <w:tr>
        <w:trPr>
          <w:trHeight w:val="148"/>
        </w:trPr>
        <w:tc>
          <w:tcPr>
            <w:tcW w:w="366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460" w:type="dxa"/>
            <w:vAlign w:val="bottom"/>
            <w:vMerge w:val="restart"/>
          </w:tcPr>
          <w:p>
            <w:pPr>
              <w:jc w:val="center"/>
              <w:ind w:right="40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4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97"/>
        </w:trPr>
        <w:tc>
          <w:tcPr>
            <w:tcW w:w="3660" w:type="dxa"/>
            <w:vAlign w:val="bottom"/>
            <w:vMerge w:val="restart"/>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460" w:type="dxa"/>
            <w:vAlign w:val="bottom"/>
            <w:vMerge w:val="continue"/>
          </w:tcPr>
          <w:p>
            <w:pPr>
              <w:spacing w:after="0"/>
              <w:rPr>
                <w:sz w:val="8"/>
                <w:szCs w:val="8"/>
                <w:color w:val="auto"/>
              </w:rPr>
            </w:pPr>
          </w:p>
        </w:tc>
        <w:tc>
          <w:tcPr>
            <w:tcW w:w="2240" w:type="dxa"/>
            <w:vAlign w:val="bottom"/>
            <w:vMerge w:val="restart"/>
          </w:tcPr>
          <w:p>
            <w:pPr>
              <w:jc w:val="center"/>
              <w:ind w:left="1104"/>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81"/>
        </w:trPr>
        <w:tc>
          <w:tcPr>
            <w:tcW w:w="3660" w:type="dxa"/>
            <w:vAlign w:val="bottom"/>
            <w:vMerge w:val="continue"/>
          </w:tcPr>
          <w:p>
            <w:pPr>
              <w:spacing w:after="0"/>
              <w:rPr>
                <w:sz w:val="7"/>
                <w:szCs w:val="7"/>
                <w:color w:val="auto"/>
              </w:rPr>
            </w:pPr>
          </w:p>
        </w:tc>
        <w:tc>
          <w:tcPr>
            <w:tcW w:w="346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1"/>
        </w:trPr>
        <w:tc>
          <w:tcPr>
            <w:tcW w:w="366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10240 Sorrento Valley Road, Suite 300</w:t>
            </w:r>
          </w:p>
        </w:tc>
        <w:tc>
          <w:tcPr>
            <w:tcW w:w="3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66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San Diego, CA</w:t>
            </w:r>
          </w:p>
        </w:tc>
        <w:tc>
          <w:tcPr>
            <w:tcW w:w="3460" w:type="dxa"/>
            <w:vAlign w:val="bottom"/>
          </w:tcPr>
          <w:p>
            <w:pPr>
              <w:spacing w:after="0"/>
              <w:rPr>
                <w:sz w:val="19"/>
                <w:szCs w:val="19"/>
                <w:color w:val="auto"/>
              </w:rPr>
            </w:pPr>
          </w:p>
        </w:tc>
        <w:tc>
          <w:tcPr>
            <w:tcW w:w="22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92121</w:t>
            </w:r>
          </w:p>
        </w:tc>
        <w:tc>
          <w:tcPr>
            <w:tcW w:w="0" w:type="dxa"/>
            <w:vAlign w:val="bottom"/>
          </w:tcPr>
          <w:p>
            <w:pPr>
              <w:spacing w:after="0"/>
              <w:rPr>
                <w:sz w:val="1"/>
                <w:szCs w:val="1"/>
                <w:color w:val="auto"/>
              </w:rPr>
            </w:pPr>
          </w:p>
        </w:tc>
      </w:tr>
      <w:tr>
        <w:trPr>
          <w:trHeight w:val="178"/>
        </w:trPr>
        <w:tc>
          <w:tcPr>
            <w:tcW w:w="366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460" w:type="dxa"/>
            <w:vAlign w:val="bottom"/>
          </w:tcPr>
          <w:p>
            <w:pPr>
              <w:spacing w:after="0"/>
              <w:rPr>
                <w:sz w:val="15"/>
                <w:szCs w:val="15"/>
                <w:color w:val="auto"/>
              </w:rPr>
            </w:pPr>
          </w:p>
        </w:tc>
        <w:tc>
          <w:tcPr>
            <w:tcW w:w="2240" w:type="dxa"/>
            <w:vAlign w:val="bottom"/>
          </w:tcPr>
          <w:p>
            <w:pPr>
              <w:jc w:val="center"/>
              <w:ind w:left="1124"/>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bl>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731-8389</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224155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right="620"/>
        <w:spacing w:after="0" w:line="273"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4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321"/>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ATYR</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30"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46" w:lineRule="exact"/>
        <w:rPr>
          <w:sz w:val="24"/>
          <w:szCs w:val="24"/>
          <w:color w:val="auto"/>
        </w:rPr>
      </w:pPr>
    </w:p>
    <w:p>
      <w:pPr>
        <w:spacing w:after="0" w:line="207" w:lineRule="exact"/>
        <w:tabs>
          <w:tab w:leader="none" w:pos="21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25"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753110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3.01. Notice of Delisting or Failure to Satisfy a Continued Listing Rule or Standard; Transfer of Listing.</w:t>
      </w:r>
    </w:p>
    <w:p>
      <w:pPr>
        <w:spacing w:after="0" w:line="23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As previously disclosed, on December 4, 2025, aTyr Pharma, Inc. (the “Company”) received a deficiency notice (the “Notice”) from the listing qualifications staff (the “Staff”) of The Nasdaq Stock Market LLC (“Nasdaq”) notifying the Company that, for the last 30 consecutive business days preceding the date of the Notice, the bid price of the Company’s common stock had closed below $1.00 per share, the minimum closing bid price required by the continued listing requirements of Nasdaq Listing Rule 5550(a)(2). The Notice had no immediate effect on the listing of the Company’s common stock on The Nasdaq Capital Market. In accordance with Nasdaq Listing Rule 5810(c)(3)(A), the Company had 180 calendar days, or until June 2, 2026 (the “Initial Compliance Date”), to regain compliance with the minimum bid price requirement by having shares of the Company’s common stock maintain a minimum closing bid price of at least $1.00 per share for a minimum of 10 consecutive business days before the Initial Compliance Date.</w:t>
      </w:r>
    </w:p>
    <w:p>
      <w:pPr>
        <w:spacing w:after="0" w:line="18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On June 3, 2026, the Company received a letter from the Staff (the “Letter”) notifying the Company that the Company is eligible for an additional 180-day period, or until November 30, 2026 (the “Compliance Date”), to regain compliance, based on the Staff’s determination of the Company meeting the continued listing requirement for market value of publicly held shares and all other initial listing standards for The Nasdaq Capital Market, with the exception of the minimum bid price requirement, and the Company’s written notice to Nasdaq of its intention to cure the deficiency during the second compliance period, by effecting a reverse stock split, if necessary. The Letter has no immediate impact on the listing of the Company’s common stock on The Nasdaq Capital Market. If at any time during the second compliance period the closing bid price of the Company’s common stock is at least $1.00 per share for a minimum of 10 consecutive business days (which may be extended to be a period of up to 20 consecutive business days in the discretion of the Staff), Nasdaq will provide the Company with written confirmation of compliance.</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the Company does not regain compliance by the Compliance Date, the Staff will provide written notification that the Company’s common stock is subject to delisting. At that time, the Company may appeal the delisting determination to a hearings panel pursuant to the procedures set forth in the applicable Nasdaq listing rules. However, there can be no assurance that, if the Company receives a delisting notice and appeals the delisting determination by Nasdaq to the panel, such appeal would be successful.</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Company intends to actively monitor the closing bid price of its common stock between now and the Compliance Date and, as appropriate, will evaluate available options to resolve the deficiency and regain compliance with the minimum bid price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1204595</wp:posOffset>
            </wp:positionV>
            <wp:extent cx="71323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0"/>
          <w:szCs w:val="20"/>
          <w:b w:val="1"/>
          <w:bCs w:val="1"/>
          <w:color w:val="auto"/>
        </w:rPr>
        <w:t>ATYR PHARMA, INC.</w:t>
      </w:r>
    </w:p>
    <w:p>
      <w:pPr>
        <w:spacing w:after="0" w:line="200" w:lineRule="exact"/>
        <w:rPr>
          <w:sz w:val="20"/>
          <w:szCs w:val="20"/>
          <w:color w:val="auto"/>
        </w:rPr>
      </w:pPr>
    </w:p>
    <w:p>
      <w:pPr>
        <w:spacing w:after="0" w:line="263" w:lineRule="exact"/>
        <w:rPr>
          <w:sz w:val="20"/>
          <w:szCs w:val="20"/>
          <w:color w:val="auto"/>
        </w:rPr>
      </w:pPr>
    </w:p>
    <w:p>
      <w:pPr>
        <w:ind w:left="5700"/>
        <w:spacing w:after="0"/>
        <w:tabs>
          <w:tab w:leader="none" w:pos="61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Jill M. Broadfoot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13970</wp:posOffset>
            </wp:positionV>
            <wp:extent cx="32404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8"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0"/>
          <w:szCs w:val="20"/>
          <w:color w:val="auto"/>
        </w:rPr>
        <w:t>Jill M. Broadfoot</w:t>
      </w:r>
    </w:p>
    <w:p>
      <w:pPr>
        <w:spacing w:after="0" w:line="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June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36" w:right="35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2026-06-08T15:10:40Z</dcterms:created>
  <dcterms:modified xsi:type="dcterms:W3CDTF">2026-06-08T15:10:40Z</dcterms:modified>
</cp:coreProperties>
</file>