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tyr-20260730.htm"/>
      <w:bookmarkStart w:id="1" w:name="ksatyr20260730"/>
      <w:bookmarkEnd w:id="0"/>
      <w:bookmarkEnd w:id="1"/>
      <w:r>
        <w:rPr/>
        <w:t> </w:t>
      </w:r>
      <w:r>
        <mc:AlternateContent>
          <mc:Choice Requires="wps">
            <w:drawing>
              <wp:anchor behindDoc="0" distT="0" distB="0" distL="0" distR="0" simplePos="0" locked="0" layoutInCell="1" allowOverlap="1" relativeHeight="11">
                <wp:simplePos x="0" y="0"/>
                <wp:positionH relativeFrom="page">
                  <wp:posOffset>0</wp:posOffset>
                </wp:positionH>
                <wp:positionV relativeFrom="page">
                  <wp:posOffset>0</wp:posOffset>
                </wp:positionV>
                <wp:extent cx="7425055" cy="463550"/>
                <wp:effectExtent l="0" t="0" r="0" b="0"/>
                <wp:wrapNone/>
                <wp:docPr id="1" name="Frame10"/>
                <a:graphic xmlns:a="http://schemas.openxmlformats.org/drawingml/2006/main">
                  <a:graphicData uri="http://schemas.microsoft.com/office/word/2010/wordprocessingShape">
                    <wps:wsp>
                      <wps:cNvSpPr txBox="1"/>
                      <wps:spPr>
                        <a:xfrm>
                          <a:off x="0" y="0"/>
                          <a:ext cx="7425055" cy="46355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584.65pt;height:36.5pt;mso-wrap-distance-left:0pt;mso-wrap-distance-right:0pt;mso-wrap-distance-top:0pt;mso-wrap-distance-bottom:0pt;margin-top:0pt;mso-position-vertical-relative:page;margin-left:0pt;mso-position-horizontal-relative:page">
                <v:textbox inset="0in,0in,0in,0in">
                  <w:txbxContent>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0">
                <wp:simplePos x="0" y="0"/>
                <wp:positionH relativeFrom="page">
                  <wp:posOffset>0</wp:posOffset>
                </wp:positionH>
                <wp:positionV relativeFrom="page">
                  <wp:posOffset>0</wp:posOffset>
                </wp:positionV>
                <wp:extent cx="7425055" cy="463550"/>
                <wp:effectExtent l="0" t="0" r="0" b="0"/>
                <wp:wrapNone/>
                <wp:docPr id="2" name="Frame9"/>
                <a:graphic xmlns:a="http://schemas.openxmlformats.org/drawingml/2006/main">
                  <a:graphicData uri="http://schemas.microsoft.com/office/word/2010/wordprocessingShape">
                    <wps:wsp>
                      <wps:cNvSpPr txBox="1"/>
                      <wps:spPr>
                        <a:xfrm>
                          <a:off x="0" y="0"/>
                          <a:ext cx="7425055" cy="46355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584.65pt;height:36.5pt;mso-wrap-distance-left:0pt;mso-wrap-distance-right:0pt;mso-wrap-distance-top:0pt;mso-wrap-distance-bottom:0pt;margin-top:0pt;mso-position-vertical-relative:page;margin-left:0pt;mso-position-horizontal-relative:page">
                <v:textbox inset="0in,0in,0in,0in">
                  <w:txbxContent>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9">
                <wp:simplePos x="0" y="0"/>
                <wp:positionH relativeFrom="page">
                  <wp:posOffset>0</wp:posOffset>
                </wp:positionH>
                <wp:positionV relativeFrom="page">
                  <wp:posOffset>0</wp:posOffset>
                </wp:positionV>
                <wp:extent cx="7425055" cy="463550"/>
                <wp:effectExtent l="0" t="0" r="0" b="0"/>
                <wp:wrapNone/>
                <wp:docPr id="3" name="Frame8"/>
                <a:graphic xmlns:a="http://schemas.openxmlformats.org/drawingml/2006/main">
                  <a:graphicData uri="http://schemas.microsoft.com/office/word/2010/wordprocessingShape">
                    <wps:wsp>
                      <wps:cNvSpPr txBox="1"/>
                      <wps:spPr>
                        <a:xfrm>
                          <a:off x="0" y="0"/>
                          <a:ext cx="7425055" cy="46355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584.65pt;height:36.5pt;mso-wrap-distance-left:0pt;mso-wrap-distance-right:0pt;mso-wrap-distance-top:0pt;mso-wrap-distance-bottom:0pt;margin-top:0pt;mso-position-vertical-relative:page;margin-left:0pt;mso-position-horizontal-relative:page">
                <v:textbox inset="0in,0in,0in,0in">
                  <w:txbxContent>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8">
                <wp:simplePos x="0" y="0"/>
                <wp:positionH relativeFrom="page">
                  <wp:posOffset>0</wp:posOffset>
                </wp:positionH>
                <wp:positionV relativeFrom="page">
                  <wp:posOffset>0</wp:posOffset>
                </wp:positionV>
                <wp:extent cx="7425055" cy="463550"/>
                <wp:effectExtent l="0" t="0" r="0" b="0"/>
                <wp:wrapNone/>
                <wp:docPr id="4" name="Frame7"/>
                <a:graphic xmlns:a="http://schemas.openxmlformats.org/drawingml/2006/main">
                  <a:graphicData uri="http://schemas.microsoft.com/office/word/2010/wordprocessingShape">
                    <wps:wsp>
                      <wps:cNvSpPr txBox="1"/>
                      <wps:spPr>
                        <a:xfrm>
                          <a:off x="0" y="0"/>
                          <a:ext cx="7425055" cy="46355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584.65pt;height:36.5pt;mso-wrap-distance-left:0pt;mso-wrap-distance-right:0pt;mso-wrap-distance-top:0pt;mso-wrap-distance-bottom:0pt;margin-top:0pt;mso-position-vertical-relative:page;margin-left:0pt;mso-position-horizontal-relative:page">
                <v:textbox inset="0in,0in,0in,0in">
                  <w:txbxContent>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7">
                <wp:simplePos x="0" y="0"/>
                <wp:positionH relativeFrom="page">
                  <wp:posOffset>0</wp:posOffset>
                </wp:positionH>
                <wp:positionV relativeFrom="page">
                  <wp:posOffset>0</wp:posOffset>
                </wp:positionV>
                <wp:extent cx="7425055" cy="463550"/>
                <wp:effectExtent l="0" t="0" r="0" b="0"/>
                <wp:wrapNone/>
                <wp:docPr id="5" name="Frame6"/>
                <a:graphic xmlns:a="http://schemas.openxmlformats.org/drawingml/2006/main">
                  <a:graphicData uri="http://schemas.microsoft.com/office/word/2010/wordprocessingShape">
                    <wps:wsp>
                      <wps:cNvSpPr txBox="1"/>
                      <wps:spPr>
                        <a:xfrm>
                          <a:off x="0" y="0"/>
                          <a:ext cx="7425055" cy="46355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584.65pt;height:36.5pt;mso-wrap-distance-left:0pt;mso-wrap-distance-right:0pt;mso-wrap-distance-top:0pt;mso-wrap-distance-bottom:0pt;margin-top:0pt;mso-position-vertical-relative:page;margin-left:0pt;mso-position-horizontal-relative:page">
                <v:textbox inset="0in,0in,0in,0in">
                  <w:txbxContent>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6">
                <wp:simplePos x="0" y="0"/>
                <wp:positionH relativeFrom="page">
                  <wp:posOffset>0</wp:posOffset>
                </wp:positionH>
                <wp:positionV relativeFrom="page">
                  <wp:posOffset>0</wp:posOffset>
                </wp:positionV>
                <wp:extent cx="7425055" cy="463550"/>
                <wp:effectExtent l="0" t="0" r="0" b="0"/>
                <wp:wrapNone/>
                <wp:docPr id="6" name="Frame5"/>
                <a:graphic xmlns:a="http://schemas.openxmlformats.org/drawingml/2006/main">
                  <a:graphicData uri="http://schemas.microsoft.com/office/word/2010/wordprocessingShape">
                    <wps:wsp>
                      <wps:cNvSpPr txBox="1"/>
                      <wps:spPr>
                        <a:xfrm>
                          <a:off x="0" y="0"/>
                          <a:ext cx="7425055" cy="46355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584.65pt;height:36.5pt;mso-wrap-distance-left:0pt;mso-wrap-distance-right:0pt;mso-wrap-distance-top:0pt;mso-wrap-distance-bottom:0pt;margin-top:0pt;mso-position-vertical-relative:page;margin-left:0pt;mso-position-horizontal-relative:page">
                <v:textbox inset="0in,0in,0in,0in">
                  <w:txbxContent>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5">
                <wp:simplePos x="0" y="0"/>
                <wp:positionH relativeFrom="page">
                  <wp:posOffset>0</wp:posOffset>
                </wp:positionH>
                <wp:positionV relativeFrom="page">
                  <wp:posOffset>0</wp:posOffset>
                </wp:positionV>
                <wp:extent cx="7425055" cy="463550"/>
                <wp:effectExtent l="0" t="0" r="0" b="0"/>
                <wp:wrapNone/>
                <wp:docPr id="7" name="Frame4"/>
                <a:graphic xmlns:a="http://schemas.openxmlformats.org/drawingml/2006/main">
                  <a:graphicData uri="http://schemas.microsoft.com/office/word/2010/wordprocessingShape">
                    <wps:wsp>
                      <wps:cNvSpPr txBox="1"/>
                      <wps:spPr>
                        <a:xfrm>
                          <a:off x="0" y="0"/>
                          <a:ext cx="7425055" cy="46355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584.65pt;height:36.5pt;mso-wrap-distance-left:0pt;mso-wrap-distance-right:0pt;mso-wrap-distance-top:0pt;mso-wrap-distance-bottom:0pt;margin-top:0pt;mso-position-vertical-relative:page;margin-left:0pt;mso-position-horizontal-relative:page">
                <v:textbox inset="0in,0in,0in,0in">
                  <w:txbxContent>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4">
                <wp:simplePos x="0" y="0"/>
                <wp:positionH relativeFrom="page">
                  <wp:posOffset>0</wp:posOffset>
                </wp:positionH>
                <wp:positionV relativeFrom="page">
                  <wp:posOffset>0</wp:posOffset>
                </wp:positionV>
                <wp:extent cx="7425055" cy="463550"/>
                <wp:effectExtent l="0" t="0" r="0" b="0"/>
                <wp:wrapNone/>
                <wp:docPr id="8" name="Frame3"/>
                <a:graphic xmlns:a="http://schemas.openxmlformats.org/drawingml/2006/main">
                  <a:graphicData uri="http://schemas.microsoft.com/office/word/2010/wordprocessingShape">
                    <wps:wsp>
                      <wps:cNvSpPr txBox="1"/>
                      <wps:spPr>
                        <a:xfrm>
                          <a:off x="0" y="0"/>
                          <a:ext cx="7425055" cy="46355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584.65pt;height:36.5pt;mso-wrap-distance-left:0pt;mso-wrap-distance-right:0pt;mso-wrap-distance-top:0pt;mso-wrap-distance-bottom:0pt;margin-top:0pt;mso-position-vertical-relative:page;margin-left:0pt;mso-position-horizontal-relative:page">
                <v:textbox inset="0in,0in,0in,0in">
                  <w:txbxContent>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3">
                <wp:simplePos x="0" y="0"/>
                <wp:positionH relativeFrom="page">
                  <wp:posOffset>0</wp:posOffset>
                </wp:positionH>
                <wp:positionV relativeFrom="page">
                  <wp:posOffset>0</wp:posOffset>
                </wp:positionV>
                <wp:extent cx="7425055" cy="463550"/>
                <wp:effectExtent l="0" t="0" r="0" b="0"/>
                <wp:wrapNone/>
                <wp:docPr id="9" name="Frame2"/>
                <a:graphic xmlns:a="http://schemas.openxmlformats.org/drawingml/2006/main">
                  <a:graphicData uri="http://schemas.microsoft.com/office/word/2010/wordprocessingShape">
                    <wps:wsp>
                      <wps:cNvSpPr txBox="1"/>
                      <wps:spPr>
                        <a:xfrm>
                          <a:off x="0" y="0"/>
                          <a:ext cx="7425055" cy="46355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584.65pt;height:36.5pt;mso-wrap-distance-left:0pt;mso-wrap-distance-right:0pt;mso-wrap-distance-top:0pt;mso-wrap-distance-bottom:0pt;margin-top:0pt;mso-position-vertical-relative:page;margin-left:0pt;mso-position-horizontal-relative:page">
                <v:textbox inset="0in,0in,0in,0in">
                  <w:txbxContent>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2">
                <wp:simplePos x="0" y="0"/>
                <wp:positionH relativeFrom="page">
                  <wp:posOffset>0</wp:posOffset>
                </wp:positionH>
                <wp:positionV relativeFrom="page">
                  <wp:posOffset>0</wp:posOffset>
                </wp:positionV>
                <wp:extent cx="7425055" cy="463550"/>
                <wp:effectExtent l="0" t="0" r="0" b="0"/>
                <wp:wrapNone/>
                <wp:docPr id="10" name="Frame1"/>
                <a:graphic xmlns:a="http://schemas.openxmlformats.org/drawingml/2006/main">
                  <a:graphicData uri="http://schemas.microsoft.com/office/word/2010/wordprocessingShape">
                    <wps:wsp>
                      <wps:cNvSpPr txBox="1"/>
                      <wps:spPr>
                        <a:xfrm>
                          <a:off x="0" y="0"/>
                          <a:ext cx="7425055" cy="46355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584.65pt;height:36.5pt;mso-wrap-distance-left:0pt;mso-wrap-distance-right:0pt;mso-wrap-distance-top:0pt;mso-wrap-distance-bottom:0pt;margin-top:0pt;mso-position-vertical-relative:page;margin-left:0pt;mso-position-horizontal-relative:page">
                <v:textbox inset="0in,0in,0in,0in">
                  <w:txbxContent>
                    <w:p>
                      <w:pPr>
                        <w:pStyle w:val="TextBody"/>
                        <w:bidi w:val="0"/>
                        <w:spacing w:before="0" w:after="283"/>
                        <w:jc w:val="left"/>
                        <w:rPr/>
                      </w:pPr>
                      <w:r>
                        <w:rPr/>
                        <w:t> </w:t>
                      </w:r>
                    </w:p>
                  </w:txbxContent>
                </v:textbox>
                <w10:wrap type="none"/>
              </v:rect>
            </w:pict>
          </mc:Fallback>
        </mc:AlternateContent>
      </w:r>
    </w:p>
    <w:p>
      <w:pPr>
        <w:pStyle w:val="TextBody"/>
        <w:bidi w:val="0"/>
        <w:spacing w:before="240" w:after="283"/>
        <w:jc w:val="center"/>
        <w:rPr>
          <w:rFonts w:ascii="Times New Roman" w:hAnsi="Times New Roman"/>
          <w:sz w:val="20"/>
        </w:rPr>
      </w:pPr>
      <w:r>
        <w:rPr>
          <w:rFonts w:ascii="Times New Roman" w:hAnsi="Times New Roman"/>
          <w:b/>
          <w:color w:val="000000"/>
          <w:sz w:val="36"/>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6"/>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36"/>
        </w:rPr>
        <w:t>FORM 8-K</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4"/>
        </w:rPr>
        <w:t>CURRENT REPORT</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4"/>
        </w:rPr>
        <w:t>Pursuant to Section 13 or 15(d) of the Securities Exchange Act of 1934</w:t>
      </w:r>
      <w:r>
        <w:rPr>
          <w:rFonts w:ascii="Times New Roman" w:hAnsi="Times New Roman"/>
          <w:color w:val="000000"/>
          <w:sz w:val="20"/>
        </w:rPr>
        <w:t xml:space="preserve">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Date of Report (Date of earliest event reported): July 30, 2026</w:t>
      </w:r>
    </w:p>
    <w:p>
      <w:pPr>
        <w:pStyle w:val="TextBody"/>
        <w:pBdr>
          <w:bottom w:val="single" w:sz="8" w:space="1" w:color="000000"/>
        </w:pBdr>
        <w:bidi w:val="0"/>
        <w:spacing w:before="180" w:after="283"/>
        <w:jc w:val="center"/>
        <w:rPr/>
      </w:pPr>
      <w:r>
        <w:rPr/>
        <w:t> </w:t>
      </w:r>
    </w:p>
    <w:p>
      <w:pPr>
        <w:pStyle w:val="TextBody"/>
        <w:bidi w:val="0"/>
        <w:spacing w:before="180" w:after="283"/>
        <w:jc w:val="center"/>
        <w:rPr>
          <w:rFonts w:ascii="Times New Roman" w:hAnsi="Times New Roman"/>
          <w:b/>
          <w:color w:val="000000"/>
          <w:sz w:val="48"/>
        </w:rPr>
      </w:pPr>
      <w:r>
        <w:rPr>
          <w:rFonts w:ascii="Times New Roman" w:hAnsi="Times New Roman"/>
          <w:b/>
          <w:color w:val="000000"/>
          <w:sz w:val="48"/>
        </w:rPr>
        <w:t>ATYR PHARMA, INC.</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p>
      <w:pPr>
        <w:pStyle w:val="TextBody"/>
        <w:pBdr>
          <w:bottom w:val="single" w:sz="8" w:space="1" w:color="000000"/>
        </w:pBdr>
        <w:bidi w:val="0"/>
        <w:spacing w:before="120" w:after="283"/>
        <w:jc w:val="center"/>
        <w:rPr/>
      </w:pPr>
      <w:r>
        <w:rPr/>
        <w:t> </w:t>
      </w:r>
    </w:p>
    <w:p>
      <w:pPr>
        <w:pStyle w:val="TextBody"/>
        <w:bidi w:val="0"/>
        <w:jc w:val="left"/>
        <w:rPr/>
      </w:pPr>
      <w:r>
        <w:rPr/>
        <w:t> </w:t>
      </w:r>
    </w:p>
    <w:tbl>
      <w:tblPr>
        <w:tblW w:w="6895" w:type="dxa"/>
        <w:jc w:val="left"/>
        <w:tblInd w:w="0" w:type="dxa"/>
        <w:tblLayout w:type="fixed"/>
        <w:tblCellMar>
          <w:top w:w="28" w:type="dxa"/>
          <w:left w:w="28" w:type="dxa"/>
          <w:bottom w:w="28" w:type="dxa"/>
          <w:right w:w="28" w:type="dxa"/>
        </w:tblCellMar>
      </w:tblPr>
      <w:tblGrid>
        <w:gridCol w:w="3406"/>
        <w:gridCol w:w="146"/>
        <w:gridCol w:w="1861"/>
        <w:gridCol w:w="146"/>
        <w:gridCol w:w="1336"/>
      </w:tblGrid>
      <w:tr>
        <w:trPr/>
        <w:tc>
          <w:tcPr>
            <w:tcW w:w="3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34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001-37378</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20-3435077</w:t>
            </w:r>
          </w:p>
        </w:tc>
      </w:tr>
      <w:tr>
        <w:trPr/>
        <w:tc>
          <w:tcPr>
            <w:tcW w:w="340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5"/>
              </w:rPr>
            </w:pPr>
            <w:r>
              <w:rPr>
                <w:rFonts w:ascii="Times New Roman" w:hAnsi="Times New Roman"/>
                <w:b/>
                <w:color w:val="000000"/>
                <w:sz w:val="15"/>
              </w:rPr>
              <w:t>(State or other jurisdiction</w:t>
            </w:r>
          </w:p>
          <w:p>
            <w:pPr>
              <w:pStyle w:val="TableContents"/>
              <w:bidi w:val="0"/>
              <w:spacing w:before="0" w:after="15"/>
              <w:jc w:val="center"/>
              <w:rPr>
                <w:rFonts w:ascii="Times New Roman" w:hAnsi="Times New Roman"/>
                <w:b/>
                <w:color w:val="000000"/>
                <w:sz w:val="15"/>
              </w:rPr>
            </w:pPr>
            <w:r>
              <w:rPr>
                <w:rFonts w:ascii="Times New Roman" w:hAnsi="Times New Roman"/>
                <w:b/>
                <w:color w:val="000000"/>
                <w:sz w:val="15"/>
              </w:rPr>
              <w:t>of incorporation)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4"/>
              </w:rPr>
            </w:pPr>
            <w:r>
              <w:rPr>
                <w:rFonts w:ascii="Times New Roman" w:hAnsi="Times New Roman"/>
                <w:b/>
                <w:color w:val="000000"/>
                <w:sz w:val="15"/>
              </w:rPr>
              <w:t>(Commission</w:t>
            </w:r>
            <w:r>
              <w:rPr>
                <w:rFonts w:ascii="Times New Roman" w:hAnsi="Times New Roman"/>
                <w:color w:val="000000"/>
                <w:sz w:val="24"/>
              </w:rPr>
              <w:t xml:space="preserve"> </w:t>
            </w:r>
            <w:r>
              <w:rPr>
                <w:rFonts w:ascii="Times New Roman" w:hAnsi="Times New Roman"/>
                <w:b/>
                <w:color w:val="000000"/>
                <w:sz w:val="15"/>
              </w:rPr>
              <w:t>File Number)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5"/>
              </w:rPr>
            </w:pPr>
            <w:r>
              <w:rPr>
                <w:rFonts w:ascii="Times New Roman" w:hAnsi="Times New Roman"/>
                <w:b/>
                <w:color w:val="000000"/>
                <w:sz w:val="15"/>
              </w:rPr>
              <w:t>(IRS Employer</w:t>
            </w:r>
          </w:p>
          <w:p>
            <w:pPr>
              <w:pStyle w:val="TableContents"/>
              <w:bidi w:val="0"/>
              <w:spacing w:before="0" w:after="15"/>
              <w:jc w:val="center"/>
              <w:rPr>
                <w:rFonts w:ascii="Times New Roman" w:hAnsi="Times New Roman"/>
                <w:b/>
                <w:color w:val="000000"/>
                <w:sz w:val="15"/>
              </w:rPr>
            </w:pPr>
            <w:r>
              <w:rPr>
                <w:rFonts w:ascii="Times New Roman" w:hAnsi="Times New Roman"/>
                <w:b/>
                <w:color w:val="000000"/>
                <w:sz w:val="15"/>
              </w:rPr>
              <w:t>Identification No.)</w:t>
            </w:r>
          </w:p>
          <w:p>
            <w:pPr>
              <w:pStyle w:val="TableContents"/>
              <w:bidi w:val="0"/>
              <w:spacing w:before="0" w:after="15"/>
              <w:jc w:val="center"/>
              <w:rPr/>
            </w:pPr>
            <w:r>
              <w:rPr/>
              <w:t> </w:t>
            </w:r>
          </w:p>
        </w:tc>
      </w:tr>
      <w:tr>
        <w:trPr/>
        <w:tc>
          <w:tcPr>
            <w:tcW w:w="340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10240 Sorrento Valley Road, Suite 300</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San Diego, CA</w:t>
            </w:r>
          </w:p>
        </w:tc>
        <w:tc>
          <w:tcPr>
            <w:tcW w:w="146" w:type="dxa"/>
            <w:tcBorders/>
            <w:tcMar>
              <w:top w:w="0" w:type="dxa"/>
              <w:left w:w="0" w:type="dxa"/>
              <w:bottom w:w="0" w:type="dxa"/>
              <w:right w:w="0" w:type="dxa"/>
            </w:tcMar>
            <w:vAlign w:val="center"/>
          </w:tcPr>
          <w:p>
            <w:pPr>
              <w:pStyle w:val="TableContents"/>
              <w:bidi w:val="0"/>
              <w:spacing w:before="0" w:after="15"/>
              <w:jc w:val="center"/>
              <w:rPr/>
            </w:pPr>
            <w:r>
              <w:rPr/>
              <w:t> </w:t>
            </w:r>
          </w:p>
        </w:tc>
        <w:tc>
          <w:tcPr>
            <w:tcW w:w="18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92121</w:t>
            </w:r>
          </w:p>
        </w:tc>
      </w:tr>
      <w:tr>
        <w:trPr/>
        <w:tc>
          <w:tcPr>
            <w:tcW w:w="34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center"/>
        <w:rPr>
          <w:rFonts w:ascii="Times New Roman" w:hAnsi="Times New Roman"/>
          <w:sz w:val="20"/>
        </w:rPr>
      </w:pPr>
      <w:r>
        <w:rPr>
          <w:rFonts w:ascii="Times New Roman" w:hAnsi="Times New Roman"/>
          <w:b/>
          <w:color w:val="000000"/>
          <w:sz w:val="20"/>
        </w:rPr>
        <w:t>Registrant’s telephone number, including area code: (858) 731-8389</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 Applicable</w:t>
      </w:r>
    </w:p>
    <w:p>
      <w:pPr>
        <w:pStyle w:val="TextBody"/>
        <w:bidi w:val="0"/>
        <w:jc w:val="center"/>
        <w:rPr>
          <w:rFonts w:ascii="Times New Roman" w:hAnsi="Times New Roman"/>
          <w:sz w:val="20"/>
        </w:rPr>
      </w:pPr>
      <w:r>
        <w:rPr>
          <w:rFonts w:ascii="Times New Roman" w:hAnsi="Times New Roman"/>
          <w:b/>
          <w:color w:val="000000"/>
          <w:sz w:val="15"/>
        </w:rPr>
        <w:t>(Former Name or Former Address, if Changed Since Last Report)</w:t>
      </w:r>
      <w:r>
        <w:rPr>
          <w:rFonts w:ascii="Times New Roman" w:hAnsi="Times New Roman"/>
          <w:color w:val="000000"/>
          <w:sz w:val="20"/>
        </w:rPr>
        <w:t xml:space="preserve"> </w:t>
      </w:r>
    </w:p>
    <w:p>
      <w:pPr>
        <w:pStyle w:val="TextBody"/>
        <w:pBdr>
          <w:bottom w:val="single" w:sz="8" w:space="1" w:color="000000"/>
        </w:pBdr>
        <w:bidi w:val="0"/>
        <w:spacing w:before="180" w:after="283"/>
        <w:jc w:val="center"/>
        <w:rPr/>
      </w:pPr>
      <w:r>
        <w:rPr/>
        <w: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tbl>
      <w:tblPr>
        <w:tblW w:w="7787" w:type="dxa"/>
        <w:jc w:val="left"/>
        <w:tblInd w:w="0" w:type="dxa"/>
        <w:tblLayout w:type="fixed"/>
        <w:tblCellMar>
          <w:top w:w="28" w:type="dxa"/>
          <w:left w:w="28" w:type="dxa"/>
          <w:bottom w:w="28" w:type="dxa"/>
          <w:right w:w="28" w:type="dxa"/>
        </w:tblCellMar>
      </w:tblPr>
      <w:tblGrid>
        <w:gridCol w:w="331"/>
        <w:gridCol w:w="7456"/>
      </w:tblGrid>
      <w:tr>
        <w:trPr/>
        <w:tc>
          <w:tcPr>
            <w:tcW w:w="331" w:type="dxa"/>
            <w:tcBorders/>
            <w:vAlign w:val="center"/>
          </w:tcPr>
          <w:p>
            <w:pPr>
              <w:pStyle w:val="TableContents"/>
              <w:bidi w:val="0"/>
              <w:spacing w:before="0" w:after="283"/>
              <w:jc w:val="left"/>
              <w:rPr>
                <w:sz w:val="4"/>
                <w:szCs w:val="4"/>
              </w:rPr>
            </w:pPr>
            <w:r>
              <w:rPr>
                <w:sz w:val="4"/>
                <w:szCs w:val="4"/>
              </w:rPr>
            </w:r>
          </w:p>
        </w:tc>
        <w:tc>
          <w:tcPr>
            <w:tcW w:w="745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Written communications pursuant to Rule 425 under the Securities Act (17 CFR 230.425) </w:t>
            </w:r>
          </w:p>
        </w:tc>
      </w:tr>
    </w:tbl>
    <w:tbl>
      <w:tblPr>
        <w:tblW w:w="7817" w:type="dxa"/>
        <w:jc w:val="left"/>
        <w:tblInd w:w="0" w:type="dxa"/>
        <w:tblLayout w:type="fixed"/>
        <w:tblCellMar>
          <w:top w:w="28" w:type="dxa"/>
          <w:left w:w="28" w:type="dxa"/>
          <w:bottom w:w="28" w:type="dxa"/>
          <w:right w:w="28" w:type="dxa"/>
        </w:tblCellMar>
      </w:tblPr>
      <w:tblGrid>
        <w:gridCol w:w="331"/>
        <w:gridCol w:w="7486"/>
      </w:tblGrid>
      <w:tr>
        <w:trPr/>
        <w:tc>
          <w:tcPr>
            <w:tcW w:w="331" w:type="dxa"/>
            <w:tcBorders/>
            <w:vAlign w:val="center"/>
          </w:tcPr>
          <w:p>
            <w:pPr>
              <w:pStyle w:val="TableContents"/>
              <w:bidi w:val="0"/>
              <w:spacing w:before="0" w:after="283"/>
              <w:jc w:val="left"/>
              <w:rPr>
                <w:sz w:val="4"/>
                <w:szCs w:val="4"/>
              </w:rPr>
            </w:pPr>
            <w:r>
              <w:rPr>
                <w:sz w:val="4"/>
                <w:szCs w:val="4"/>
              </w:rPr>
            </w:r>
          </w:p>
        </w:tc>
        <w:tc>
          <w:tcPr>
            <w:tcW w:w="748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4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Soliciting material pursuant to Rule 14a-12 under the Exchange Act (17 CFR 240.14a-12) </w:t>
            </w:r>
          </w:p>
        </w:tc>
      </w:tr>
    </w:tbl>
    <w:tbl>
      <w:tblPr>
        <w:tblW w:w="9557" w:type="dxa"/>
        <w:jc w:val="left"/>
        <w:tblInd w:w="0" w:type="dxa"/>
        <w:tblLayout w:type="fixed"/>
        <w:tblCellMar>
          <w:top w:w="28" w:type="dxa"/>
          <w:left w:w="28" w:type="dxa"/>
          <w:bottom w:w="28" w:type="dxa"/>
          <w:right w:w="28" w:type="dxa"/>
        </w:tblCellMar>
      </w:tblPr>
      <w:tblGrid>
        <w:gridCol w:w="331"/>
        <w:gridCol w:w="9226"/>
      </w:tblGrid>
      <w:tr>
        <w:trPr/>
        <w:tc>
          <w:tcPr>
            <w:tcW w:w="331" w:type="dxa"/>
            <w:tcBorders/>
            <w:vAlign w:val="center"/>
          </w:tcPr>
          <w:p>
            <w:pPr>
              <w:pStyle w:val="TableContents"/>
              <w:bidi w:val="0"/>
              <w:spacing w:before="0" w:after="283"/>
              <w:jc w:val="left"/>
              <w:rPr>
                <w:sz w:val="4"/>
                <w:szCs w:val="4"/>
              </w:rPr>
            </w:pPr>
            <w:r>
              <w:rPr>
                <w:sz w:val="4"/>
                <w:szCs w:val="4"/>
              </w:rPr>
            </w:r>
          </w:p>
        </w:tc>
        <w:tc>
          <w:tcPr>
            <w:tcW w:w="922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Pre-commencement communications pursuant to Rule 14d-2(b) under the Exchange Act (17 CFR 240.14d-2(b)) </w:t>
            </w:r>
          </w:p>
        </w:tc>
      </w:tr>
    </w:tbl>
    <w:tbl>
      <w:tblPr>
        <w:tblW w:w="9497" w:type="dxa"/>
        <w:jc w:val="left"/>
        <w:tblInd w:w="0" w:type="dxa"/>
        <w:tblLayout w:type="fixed"/>
        <w:tblCellMar>
          <w:top w:w="28" w:type="dxa"/>
          <w:left w:w="28" w:type="dxa"/>
          <w:bottom w:w="28" w:type="dxa"/>
          <w:right w:w="28" w:type="dxa"/>
        </w:tblCellMar>
      </w:tblPr>
      <w:tblGrid>
        <w:gridCol w:w="331"/>
        <w:gridCol w:w="9166"/>
      </w:tblGrid>
      <w:tr>
        <w:trPr/>
        <w:tc>
          <w:tcPr>
            <w:tcW w:w="331" w:type="dxa"/>
            <w:tcBorders/>
            <w:vAlign w:val="center"/>
          </w:tcPr>
          <w:p>
            <w:pPr>
              <w:pStyle w:val="TableContents"/>
              <w:bidi w:val="0"/>
              <w:spacing w:before="0" w:after="283"/>
              <w:jc w:val="left"/>
              <w:rPr>
                <w:sz w:val="4"/>
                <w:szCs w:val="4"/>
              </w:rPr>
            </w:pPr>
            <w:r>
              <w:rPr>
                <w:sz w:val="4"/>
                <w:szCs w:val="4"/>
              </w:rPr>
            </w:r>
          </w:p>
        </w:tc>
        <w:tc>
          <w:tcPr>
            <w:tcW w:w="916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Pre-commencement communications pursuant to Rule 13e-4(c) under the Exchange Act (17 CFR 240.13e-4(c))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Securities registered pursuant to Section 12(b) of the Act:</w:t>
      </w:r>
    </w:p>
    <w:p>
      <w:pPr>
        <w:pStyle w:val="TextBody"/>
        <w:bidi w:val="0"/>
        <w:jc w:val="center"/>
        <w:rPr/>
      </w:pPr>
      <w:r>
        <w:rPr/>
        <w:t> </w:t>
      </w:r>
    </w:p>
    <w:tbl>
      <w:tblPr>
        <w:tblW w:w="9123" w:type="dxa"/>
        <w:jc w:val="left"/>
        <w:tblInd w:w="0" w:type="dxa"/>
        <w:tblLayout w:type="fixed"/>
        <w:tblCellMar>
          <w:top w:w="28" w:type="dxa"/>
          <w:left w:w="28" w:type="dxa"/>
          <w:bottom w:w="28" w:type="dxa"/>
          <w:right w:w="28" w:type="dxa"/>
        </w:tblCellMar>
      </w:tblPr>
      <w:tblGrid>
        <w:gridCol w:w="3601"/>
        <w:gridCol w:w="1696"/>
        <w:gridCol w:w="3826"/>
      </w:tblGrid>
      <w:tr>
        <w:trPr/>
        <w:tc>
          <w:tcPr>
            <w:tcW w:w="3601"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60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 of each class</w:t>
            </w:r>
          </w:p>
        </w:tc>
        <w:tc>
          <w:tcPr>
            <w:tcW w:w="169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 Symbol(s)</w:t>
            </w:r>
          </w:p>
        </w:tc>
        <w:tc>
          <w:tcPr>
            <w:tcW w:w="382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360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Common Stock, par value $0.001 per share</w:t>
            </w:r>
          </w:p>
        </w:tc>
        <w:tc>
          <w:tcPr>
            <w:tcW w:w="169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ATYR</w:t>
            </w:r>
          </w:p>
        </w:tc>
        <w:tc>
          <w:tcPr>
            <w:tcW w:w="382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The Nasdaq Capital Market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or Rule 12b-2 of the Securities Exchange Act of 1934.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pBdr>
          <w:bottom w:val="double" w:sz="4" w:space="1" w:color="000000"/>
        </w:pBdr>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1"/>
        </w:rPr>
      </w:pPr>
      <w:r>
        <w:rPr>
          <w:rFonts w:ascii="Times New Roman" w:hAnsi="Times New Roman"/>
          <w:b/>
          <w:color w:val="000000"/>
          <w:sz w:val="21"/>
        </w:rPr>
        <w:t>Item 1.02 Termination of a Material Definitive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previously disclosed in Item 5 to the aTyr Pharma, Inc. (the “Company”) Quarterly Report on Form 10-Q filed with the United States Securities and Exchange Commission on May 15, 2026, the Company received notice of termination of the collaboration and license agreement (“Kyorin Agreement”) with Kyorin Pharmaceutical Co., Ltd. (“Kyorin”) on May 12, 2026. As previously disclosed, Kyorin elected to terminate the Kyorin Agreement without cause in accordance with the terms of the Kyorin Agreement, and the termination was to become effective 90 days after the date of receipt of the notice of termination. </w:t>
      </w:r>
    </w:p>
    <w:p>
      <w:pPr>
        <w:pStyle w:val="TextBody"/>
        <w:bidi w:val="0"/>
        <w:spacing w:before="0" w:after="283"/>
        <w:jc w:val="both"/>
        <w:rPr>
          <w:rFonts w:ascii="Times New Roman" w:hAnsi="Times New Roman"/>
          <w:color w:val="000000"/>
          <w:sz w:val="20"/>
        </w:rPr>
      </w:pPr>
      <w:r>
        <w:rPr>
          <w:rFonts w:ascii="Times New Roman" w:hAnsi="Times New Roman"/>
          <w:color w:val="000000"/>
          <w:sz w:val="20"/>
        </w:rPr>
        <w:t>On July 30, 2026, the Company and Kyorin entered into a termination agreement (“Termination Agreement”) whereby the parties mutually agreed to: (i) a termination date for the Kyorin Agreement of July 30, 2026 (the “Termination Date”); (ii) the termination of other ancillary agreements associated with the Kyorin Agreement; and (iii) details regarding certain wind down activities. Following the Termination Date, the license granted to Kyorin pursuant to the Kyorin Agreement ceased and the exclusive rights to develop and commercialize efzofitimod in Japan for all forms of interstitial lung disease reverted to the Company. Consequently, the Company now holds the right to develop and commercialize efzofitimod globally.</w:t>
      </w:r>
    </w:p>
    <w:p>
      <w:pPr>
        <w:pStyle w:val="TextBody"/>
        <w:bidi w:val="0"/>
        <w:spacing w:before="0" w:after="283"/>
        <w:jc w:val="both"/>
        <w:rPr>
          <w:rFonts w:ascii="Times New Roman" w:hAnsi="Times New Roman"/>
          <w:color w:val="000000"/>
          <w:sz w:val="20"/>
        </w:rPr>
      </w:pPr>
      <w:r>
        <w:rPr>
          <w:rFonts w:ascii="Times New Roman" w:hAnsi="Times New Roman"/>
          <w:color w:val="000000"/>
          <w:sz w:val="20"/>
        </w:rPr>
        <w:t>The foregoing description of the Termination Agreement is only a summary of the material terms thereof, does not purport to be complete and is subject to, and qualified in entirety by, the full text of the Termination Agreement, a copy of which is filed as Exhibit 99.1 hereto, and is incorporated herein by reference.</w:t>
      </w:r>
    </w:p>
    <w:p>
      <w:pPr>
        <w:pStyle w:val="TextBody"/>
        <w:bidi w:val="0"/>
        <w:spacing w:before="77" w:after="283"/>
        <w:jc w:val="both"/>
        <w:rPr>
          <w:rFonts w:ascii="Times New Roman" w:hAnsi="Times New Roman"/>
          <w:sz w:val="20"/>
        </w:rPr>
      </w:pPr>
      <w:r>
        <w:rPr>
          <w:rFonts w:ascii="Times New Roman" w:hAnsi="Times New Roman"/>
          <w:b/>
          <w:color w:val="000000"/>
          <w:sz w:val="21"/>
        </w:rPr>
        <w:t>Item 9.01 Financial Statements and Exhibits.</w:t>
      </w:r>
      <w:r>
        <w:rPr>
          <w:rFonts w:ascii="Times New Roman" w:hAnsi="Times New Roman"/>
          <w:color w:val="000000"/>
          <w:sz w:val="20"/>
        </w:rPr>
        <w:t xml:space="preserve"> </w:t>
      </w:r>
    </w:p>
    <w:p>
      <w:pPr>
        <w:pStyle w:val="TextBody"/>
        <w:bidi w:val="0"/>
        <w:spacing w:before="180" w:after="283"/>
        <w:jc w:val="both"/>
        <w:rPr>
          <w:rFonts w:ascii="Times New Roman" w:hAnsi="Times New Roman"/>
          <w:color w:val="000000"/>
          <w:sz w:val="21"/>
        </w:rPr>
      </w:pPr>
      <w:r>
        <w:rPr>
          <w:rFonts w:ascii="Times New Roman" w:hAnsi="Times New Roman"/>
          <w:color w:val="000000"/>
          <w:sz w:val="21"/>
        </w:rPr>
        <w:t>(d) Exhibits</w:t>
      </w:r>
    </w:p>
    <w:p>
      <w:pPr>
        <w:pStyle w:val="TextBody"/>
        <w:bidi w:val="0"/>
        <w:spacing w:before="180" w:after="283"/>
        <w:jc w:val="both"/>
        <w:rPr/>
      </w:pPr>
      <w:r>
        <w:rPr/>
        <w:t> </w:t>
      </w:r>
    </w:p>
    <w:tbl>
      <w:tblPr>
        <w:tblW w:w="10205" w:type="dxa"/>
        <w:jc w:val="left"/>
        <w:tblInd w:w="0" w:type="dxa"/>
        <w:tblLayout w:type="fixed"/>
        <w:tblCellMar>
          <w:top w:w="28" w:type="dxa"/>
          <w:left w:w="28" w:type="dxa"/>
          <w:bottom w:w="28" w:type="dxa"/>
          <w:right w:w="28" w:type="dxa"/>
        </w:tblCellMar>
      </w:tblPr>
      <w:tblGrid>
        <w:gridCol w:w="1111"/>
        <w:gridCol w:w="146"/>
        <w:gridCol w:w="8948"/>
      </w:tblGrid>
      <w:tr>
        <w:trPr/>
        <w:tc>
          <w:tcPr>
            <w:tcW w:w="1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948" w:type="dxa"/>
            <w:tcBorders/>
            <w:vAlign w:val="center"/>
          </w:tcPr>
          <w:p>
            <w:pPr>
              <w:pStyle w:val="TableContents"/>
              <w:bidi w:val="0"/>
              <w:spacing w:before="0" w:after="283"/>
              <w:jc w:val="left"/>
              <w:rPr>
                <w:sz w:val="4"/>
                <w:szCs w:val="4"/>
              </w:rPr>
            </w:pPr>
            <w:r>
              <w:rPr>
                <w:sz w:val="4"/>
                <w:szCs w:val="4"/>
              </w:rPr>
            </w:r>
          </w:p>
        </w:tc>
      </w:tr>
      <w:tr>
        <w:trPr/>
        <w:tc>
          <w:tcPr>
            <w:tcW w:w="111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1"/>
              </w:rPr>
            </w:pPr>
            <w:r>
              <w:rPr>
                <w:rFonts w:ascii="Times New Roman" w:hAnsi="Times New Roman"/>
                <w:b/>
                <w:color w:val="000000"/>
                <w:sz w:val="21"/>
              </w:rPr>
              <w:t>Exhibit No.</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948"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1"/>
              </w:rPr>
            </w:pPr>
            <w:r>
              <w:rPr>
                <w:rFonts w:ascii="Times New Roman" w:hAnsi="Times New Roman"/>
                <w:b/>
                <w:color w:val="000000"/>
                <w:sz w:val="21"/>
              </w:rPr>
              <w:t>Description</w:t>
            </w:r>
          </w:p>
        </w:tc>
      </w:tr>
      <w:tr>
        <w:trPr/>
        <w:tc>
          <w:tcPr>
            <w:tcW w:w="111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1"/>
              </w:rPr>
            </w:pPr>
            <w:r>
              <w:rPr>
                <w:rFonts w:ascii="Times New Roman" w:hAnsi="Times New Roman"/>
                <w:color w:val="000000"/>
                <w:sz w:val="21"/>
              </w:rPr>
              <w:t>99.1</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8948" w:type="dxa"/>
            <w:tcBorders/>
            <w:tcMar>
              <w:top w:w="0" w:type="dxa"/>
              <w:left w:w="0" w:type="dxa"/>
              <w:bottom w:w="0" w:type="dxa"/>
              <w:right w:w="0" w:type="dxa"/>
            </w:tcMar>
            <w:vAlign w:val="center"/>
          </w:tcPr>
          <w:p>
            <w:pPr>
              <w:pStyle w:val="TableContents"/>
              <w:bidi w:val="0"/>
              <w:spacing w:before="120" w:after="283"/>
              <w:jc w:val="left"/>
              <w:rPr/>
            </w:pPr>
            <w:hyperlink w:anchor="atyr-ex99_1.htm">
              <w:r>
                <w:rPr>
                  <w:rStyle w:val="InternetLink"/>
                  <w:rFonts w:ascii="Times New Roman" w:hAnsi="Times New Roman"/>
                  <w:color w:val="0000FF"/>
                  <w:sz w:val="21"/>
                  <w:u w:val="single"/>
                </w:rPr>
                <w:t>Termination Agreement, dated July 30, 2026, entered between aTyr Pharma, Inc. and Kyorin Pharmaceutical Co., Ltd.</w:t>
              </w:r>
            </w:hyperlink>
            <w:hyperlink w:anchor="atyr-ex99_1.htm">
              <w:r>
                <w:rPr>
                  <w:rStyle w:val="InternetLink"/>
                  <w:rFonts w:ascii="Times New Roman" w:hAnsi="Times New Roman"/>
                  <w:color w:val="0000FF"/>
                  <w:sz w:val="21"/>
                </w:rPr>
                <w:t xml:space="preserve"> </w:t>
              </w:r>
            </w:hyperlink>
          </w:p>
        </w:tc>
      </w:tr>
      <w:tr>
        <w:trPr/>
        <w:tc>
          <w:tcPr>
            <w:tcW w:w="111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1"/>
              </w:rPr>
            </w:pPr>
            <w:r>
              <w:rPr>
                <w:rFonts w:ascii="Times New Roman" w:hAnsi="Times New Roman"/>
                <w:color w:val="000000"/>
                <w:sz w:val="21"/>
              </w:rPr>
              <w:t>104</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8948"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1"/>
              </w:rPr>
            </w:pPr>
            <w:r>
              <w:rPr>
                <w:rFonts w:ascii="Times New Roman" w:hAnsi="Times New Roman"/>
                <w:color w:val="000000"/>
                <w:sz w:val="21"/>
              </w:rPr>
              <w:t>Cover Page Interactive Data File (embedded within the Inline XBRL document)</w:t>
            </w:r>
          </w:p>
        </w:tc>
      </w:tr>
    </w:tbl>
    <w:p>
      <w:pPr>
        <w:pStyle w:val="TextBody"/>
        <w:bidi w:val="0"/>
        <w:spacing w:before="396" w:after="283"/>
        <w:jc w:val="left"/>
        <w:rPr/>
      </w:pPr>
      <w:r>
        <w:rPr/>
        <w:t> </w:t>
      </w:r>
    </w:p>
    <w:p>
      <w:pPr>
        <w:pStyle w:val="TextBody"/>
        <w:pBdr>
          <w:bottom w:val="single" w:sz="18" w:space="1" w:color="000000"/>
        </w:pBdr>
        <w:bidi w:val="0"/>
        <w:spacing w:before="240" w:after="283"/>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pBdr>
          <w:bottom w:val="single" w:sz="6" w:space="1" w:color="000000"/>
        </w:pBdr>
        <w:bidi w:val="0"/>
        <w:spacing w:before="264" w:after="22"/>
        <w:jc w:val="center"/>
        <w:rPr>
          <w:rFonts w:ascii="Times New Roman" w:hAnsi="Times New Roman"/>
          <w:b/>
          <w:color w:val="000000"/>
          <w:sz w:val="20"/>
        </w:rPr>
      </w:pPr>
      <w:r>
        <w:rPr>
          <w:rFonts w:ascii="Times New Roman" w:hAnsi="Times New Roman"/>
          <w:b/>
          <w:color w:val="000000"/>
          <w:sz w:val="20"/>
        </w:rPr>
        <w:t>SIGNATURE</w:t>
      </w:r>
    </w:p>
    <w:p>
      <w:pPr>
        <w:pStyle w:val="TextBody"/>
        <w:bidi w:val="0"/>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4128" w:type="dxa"/>
        <w:jc w:val="left"/>
        <w:tblInd w:w="0" w:type="dxa"/>
        <w:tblLayout w:type="fixed"/>
        <w:tblCellMar>
          <w:top w:w="28" w:type="dxa"/>
          <w:left w:w="28" w:type="dxa"/>
          <w:bottom w:w="28" w:type="dxa"/>
          <w:right w:w="28" w:type="dxa"/>
        </w:tblCellMar>
      </w:tblPr>
      <w:tblGrid>
        <w:gridCol w:w="1711"/>
        <w:gridCol w:w="406"/>
        <w:gridCol w:w="2011"/>
      </w:tblGrid>
      <w:tr>
        <w:trPr/>
        <w:tc>
          <w:tcPr>
            <w:tcW w:w="17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17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ATYR PHARMA, INC.</w:t>
            </w:r>
          </w:p>
        </w:tc>
      </w:tr>
      <w:tr>
        <w:trPr/>
        <w:tc>
          <w:tcPr>
            <w:tcW w:w="17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01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Jill M. Broadfoot</w:t>
            </w:r>
          </w:p>
        </w:tc>
      </w:tr>
      <w:tr>
        <w:trPr/>
        <w:tc>
          <w:tcPr>
            <w:tcW w:w="17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Jill M. Broadfoot</w:t>
            </w:r>
          </w:p>
        </w:tc>
      </w:tr>
      <w:tr>
        <w:trPr/>
        <w:tc>
          <w:tcPr>
            <w:tcW w:w="17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7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July 31, 2026</w:t>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pBdr>
          <w:bottom w:val="single" w:sz="18" w:space="1" w:color="000000"/>
        </w:pBdr>
        <w:bidi w:val="0"/>
        <w:spacing w:before="240" w:after="283"/>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ind w:left="0" w:right="0" w:hanging="0"/>
        <w:jc w:val="right"/>
        <w:rPr>
          <w:rFonts w:ascii="Times New Roman" w:hAnsi="Times New Roman"/>
          <w:b/>
          <w:color w:val="000000"/>
          <w:sz w:val="18"/>
        </w:rPr>
      </w:pPr>
      <w:bookmarkStart w:id="2" w:name="atyr-ex99_1.htm"/>
      <w:bookmarkStart w:id="3" w:name="ksatyrex99_1"/>
      <w:bookmarkEnd w:id="2"/>
      <w:bookmarkEnd w:id="3"/>
      <w:r>
        <w:rPr>
          <w:rFonts w:ascii="Times New Roman" w:hAnsi="Times New Roman"/>
          <w:b/>
          <w:color w:val="000000"/>
          <w:sz w:val="18"/>
        </w:rPr>
        <w:t>Exhibit 99.1</w:t>
      </w:r>
      <w:r>
        <w:br w:type="page"/>
      </w:r>
    </w:p>
    <w:p>
      <w:pPr>
        <w:pStyle w:val="TextBody"/>
        <w:bidi w:val="0"/>
        <w:jc w:val="center"/>
        <w:rPr>
          <w:rFonts w:ascii="Times New Roman" w:hAnsi="Times New Roman"/>
          <w:b/>
          <w:color w:val="000000"/>
          <w:sz w:val="24"/>
        </w:rPr>
      </w:pPr>
      <w:r>
        <w:rPr>
          <w:rFonts w:ascii="Times New Roman" w:hAnsi="Times New Roman"/>
          <w:b/>
          <w:color w:val="000000"/>
          <w:sz w:val="24"/>
        </w:rPr>
        <w:t>TERMINATION AGREEMENT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This TERMINATION AGREEMENT (this “</w:t>
      </w:r>
      <w:r>
        <w:rPr>
          <w:rFonts w:ascii="Times New Roman" w:hAnsi="Times New Roman"/>
          <w:b/>
          <w:color w:val="000000"/>
          <w:sz w:val="22"/>
        </w:rPr>
        <w:t>Agreement</w:t>
      </w:r>
      <w:r>
        <w:rPr>
          <w:rFonts w:ascii="Times New Roman" w:hAnsi="Times New Roman"/>
          <w:color w:val="000000"/>
          <w:sz w:val="20"/>
        </w:rPr>
        <w:t>”</w:t>
      </w:r>
      <w:r>
        <w:rPr>
          <w:rFonts w:ascii="Times New Roman" w:hAnsi="Times New Roman"/>
          <w:color w:val="000000"/>
          <w:sz w:val="22"/>
        </w:rPr>
        <w:t>) is made and entered into as of July 30, 2026 (“</w:t>
      </w:r>
      <w:r>
        <w:rPr>
          <w:rFonts w:ascii="Times New Roman" w:hAnsi="Times New Roman"/>
          <w:b/>
          <w:color w:val="000000"/>
          <w:sz w:val="22"/>
        </w:rPr>
        <w:t>Execution Date</w:t>
      </w:r>
      <w:r>
        <w:rPr>
          <w:rFonts w:ascii="Times New Roman" w:hAnsi="Times New Roman"/>
          <w:color w:val="000000"/>
          <w:sz w:val="20"/>
        </w:rPr>
        <w:t>”</w:t>
      </w:r>
      <w:r>
        <w:rPr>
          <w:rFonts w:ascii="Times New Roman" w:hAnsi="Times New Roman"/>
          <w:color w:val="000000"/>
          <w:sz w:val="22"/>
        </w:rPr>
        <w:t>), by and between aTyr Pharma, Inc., a Delaware corporation, having its principal place of business at 10240 Sorrento Valley Road, Suite 300, San Diego, CA 92121, USA (“</w:t>
      </w:r>
      <w:r>
        <w:rPr>
          <w:rFonts w:ascii="Times New Roman" w:hAnsi="Times New Roman"/>
          <w:b/>
          <w:color w:val="000000"/>
          <w:sz w:val="22"/>
        </w:rPr>
        <w:t>aTyr</w:t>
      </w:r>
      <w:r>
        <w:rPr>
          <w:rFonts w:ascii="Times New Roman" w:hAnsi="Times New Roman"/>
          <w:color w:val="000000"/>
          <w:sz w:val="20"/>
        </w:rPr>
        <w:t>”</w:t>
      </w:r>
      <w:r>
        <w:rPr>
          <w:rFonts w:ascii="Times New Roman" w:hAnsi="Times New Roman"/>
          <w:color w:val="000000"/>
          <w:sz w:val="22"/>
        </w:rPr>
        <w:t>), and Kyorin Pharmaceutical Co., Ltd., a Japanese corporation, having its principal place of business at 1-3-7, Otemachi, Chiyoda-ku, Tokyo, 100-0004, Japan (“</w:t>
      </w:r>
      <w:r>
        <w:rPr>
          <w:rFonts w:ascii="Times New Roman" w:hAnsi="Times New Roman"/>
          <w:b/>
          <w:color w:val="000000"/>
          <w:sz w:val="22"/>
        </w:rPr>
        <w:t>Kyorin</w:t>
      </w:r>
      <w:r>
        <w:rPr>
          <w:rFonts w:ascii="Times New Roman" w:hAnsi="Times New Roman"/>
          <w:color w:val="000000"/>
          <w:sz w:val="20"/>
        </w:rPr>
        <w:t>”</w:t>
      </w:r>
      <w:r>
        <w:rPr>
          <w:rFonts w:ascii="Times New Roman" w:hAnsi="Times New Roman"/>
          <w:color w:val="000000"/>
          <w:sz w:val="22"/>
        </w:rPr>
        <w:t>). aTyr and Kyorin are each referred to as a “</w:t>
      </w:r>
      <w:r>
        <w:rPr>
          <w:rFonts w:ascii="Times New Roman" w:hAnsi="Times New Roman"/>
          <w:b/>
          <w:color w:val="000000"/>
          <w:sz w:val="22"/>
        </w:rPr>
        <w:t>Party</w:t>
      </w:r>
      <w:r>
        <w:rPr>
          <w:rFonts w:ascii="Times New Roman" w:hAnsi="Times New Roman"/>
          <w:color w:val="000000"/>
          <w:sz w:val="20"/>
        </w:rPr>
        <w:t xml:space="preserve">” </w:t>
      </w:r>
      <w:r>
        <w:rPr>
          <w:rFonts w:ascii="Times New Roman" w:hAnsi="Times New Roman"/>
          <w:color w:val="000000"/>
          <w:sz w:val="22"/>
        </w:rPr>
        <w:t>and collectively as the “</w:t>
      </w:r>
      <w:r>
        <w:rPr>
          <w:rFonts w:ascii="Times New Roman" w:hAnsi="Times New Roman"/>
          <w:b/>
          <w:color w:val="000000"/>
          <w:sz w:val="22"/>
        </w:rPr>
        <w:t>Parties</w:t>
      </w:r>
      <w:r>
        <w:rPr>
          <w:rFonts w:ascii="Times New Roman" w:hAnsi="Times New Roman"/>
          <w:color w:val="000000"/>
          <w:sz w:val="20"/>
        </w:rPr>
        <w:t>”</w:t>
      </w:r>
      <w:r>
        <w:rPr>
          <w:rFonts w:ascii="Times New Roman" w:hAnsi="Times New Roman"/>
          <w:color w:val="000000"/>
          <w:sz w:val="22"/>
        </w:rPr>
        <w:t>.</w:t>
      </w:r>
    </w:p>
    <w:p>
      <w:pPr>
        <w:pStyle w:val="TextBody"/>
        <w:bidi w:val="0"/>
        <w:jc w:val="both"/>
        <w:rPr/>
      </w:pPr>
      <w:r>
        <w:rPr/>
        <w:t> </w:t>
      </w:r>
    </w:p>
    <w:p>
      <w:pPr>
        <w:pStyle w:val="Heading1"/>
        <w:bidi w:val="0"/>
        <w:jc w:val="center"/>
        <w:rPr>
          <w:rFonts w:ascii="Times New Roman" w:hAnsi="Times New Roman"/>
          <w:color w:val="000000"/>
          <w:sz w:val="22"/>
        </w:rPr>
      </w:pPr>
      <w:r>
        <w:rPr>
          <w:rFonts w:ascii="Times New Roman" w:hAnsi="Times New Roman"/>
          <w:color w:val="000000"/>
          <w:sz w:val="22"/>
        </w:rPr>
        <w:t>RECITALS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2"/>
        </w:rPr>
        <w:t>WHEREAS</w:t>
      </w:r>
      <w:r>
        <w:rPr>
          <w:rFonts w:ascii="Times New Roman" w:hAnsi="Times New Roman"/>
          <w:color w:val="000000"/>
          <w:sz w:val="22"/>
        </w:rPr>
        <w:t>, the Parties entered into certain Collaboration and License Agreement dated January 6, 2020, together with that certain Letter Agreement of even date (collectively, the “</w:t>
      </w:r>
      <w:r>
        <w:rPr>
          <w:rFonts w:ascii="Times New Roman" w:hAnsi="Times New Roman"/>
          <w:b/>
          <w:color w:val="000000"/>
          <w:sz w:val="22"/>
        </w:rPr>
        <w:t>Collaboration Agreement</w:t>
      </w:r>
      <w:r>
        <w:rPr>
          <w:rFonts w:ascii="Times New Roman" w:hAnsi="Times New Roman"/>
          <w:color w:val="000000"/>
          <w:sz w:val="20"/>
        </w:rPr>
        <w:t>”</w:t>
      </w:r>
      <w:r>
        <w:rPr>
          <w:rFonts w:ascii="Times New Roman" w:hAnsi="Times New Roman"/>
          <w:color w:val="000000"/>
          <w:sz w:val="22"/>
        </w:rPr>
        <w: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2"/>
        </w:rPr>
        <w:t>WHEREAS</w:t>
      </w:r>
      <w:r>
        <w:rPr>
          <w:rFonts w:ascii="Times New Roman" w:hAnsi="Times New Roman"/>
          <w:color w:val="000000"/>
          <w:sz w:val="22"/>
        </w:rPr>
        <w:t>, Kyorin notified aTyr of its intention to terminate the Collaboration Agreement pursuant to Section 13.2 thereof on May 12, 2026, which aTyr reported on a Form 10-Q filed with the United States Securities and Exchange Commission on May 15, 2026; and</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2"/>
        </w:rPr>
        <w:t>WHEREAS</w:t>
      </w:r>
      <w:r>
        <w:rPr>
          <w:rFonts w:ascii="Times New Roman" w:hAnsi="Times New Roman"/>
          <w:color w:val="000000"/>
          <w:sz w:val="22"/>
        </w:rPr>
        <w:t>, the Parties desire to ensure a smooth transition and manage all necessary wind-down activities in connection with termination of the Collaboration Agreement.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2"/>
        </w:rPr>
        <w:t>NOW, THEREFORE</w:t>
      </w:r>
      <w:r>
        <w:rPr>
          <w:rFonts w:ascii="Times New Roman" w:hAnsi="Times New Roman"/>
          <w:color w:val="000000"/>
          <w:sz w:val="22"/>
        </w:rPr>
        <w:t>, in consideration of the foregoing and subject to the terms and conditions contained herein, the Parties hereby agree as follows:</w:t>
      </w:r>
    </w:p>
    <w:p>
      <w:pPr>
        <w:pStyle w:val="TextBody"/>
        <w:pBdr/>
        <w:bidi w:val="0"/>
        <w:ind w:left="0" w:right="0" w:hanging="838"/>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w:t>
      </w:r>
    </w:p>
    <w:p>
      <w:pPr>
        <w:pStyle w:val="TextBody"/>
        <w:bidi w:val="0"/>
        <w:spacing w:before="0" w:after="240"/>
        <w:jc w:val="both"/>
        <w:rPr/>
      </w:pPr>
      <w:r>
        <w:rPr>
          <w:rFonts w:ascii="Times New Roman" w:hAnsi="Times New Roman"/>
          <w:color w:val="000000"/>
          <w:sz w:val="22"/>
          <w:u w:val="single"/>
        </w:rPr>
        <w:t>Defined Terms</w:t>
      </w:r>
      <w:r>
        <w:rPr>
          <w:rFonts w:ascii="Times New Roman" w:hAnsi="Times New Roman"/>
          <w:color w:val="000000"/>
          <w:sz w:val="22"/>
        </w:rPr>
        <w:t>. Unless otherwise defined in this Agreement, all capitalized terms herein shall have the same meaning as set forth in the Collaboration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w:t>
      </w:r>
    </w:p>
    <w:p>
      <w:pPr>
        <w:pStyle w:val="TextBody"/>
        <w:bidi w:val="0"/>
        <w:spacing w:before="0" w:after="240"/>
        <w:jc w:val="both"/>
        <w:rPr/>
      </w:pPr>
      <w:r>
        <w:rPr>
          <w:rFonts w:ascii="Times New Roman" w:hAnsi="Times New Roman"/>
          <w:color w:val="000000"/>
          <w:sz w:val="22"/>
          <w:u w:val="single"/>
        </w:rPr>
        <w:t>Termination of Collaboration Agreement</w:t>
      </w:r>
      <w:r>
        <w:rPr>
          <w:rFonts w:ascii="Times New Roman" w:hAnsi="Times New Roman"/>
          <w:color w:val="000000"/>
          <w:sz w:val="22"/>
        </w:rPr>
        <w:t>. The Parties hereby agree and acknowledge that the Collaboration Agreement shall be terminated on July 30, 2026 (“</w:t>
      </w:r>
      <w:r>
        <w:rPr>
          <w:rFonts w:ascii="Times New Roman" w:hAnsi="Times New Roman"/>
          <w:b/>
          <w:color w:val="000000"/>
          <w:sz w:val="22"/>
        </w:rPr>
        <w:t>Termination Date</w:t>
      </w:r>
      <w:r>
        <w:rPr>
          <w:color w:val="000000"/>
        </w:rPr>
        <w:t>”</w:t>
      </w:r>
      <w:r>
        <w:rPr>
          <w:rFonts w:ascii="Times New Roman" w:hAnsi="Times New Roman"/>
          <w:color w:val="000000"/>
          <w:sz w:val="22"/>
        </w:rPr>
        <w:t xml:space="preserve">) notwithstanding the provisions of Section 13.2 thereof.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3.</w:t>
      </w:r>
    </w:p>
    <w:p>
      <w:pPr>
        <w:pStyle w:val="TextBody"/>
        <w:bidi w:val="0"/>
        <w:spacing w:before="0" w:after="240"/>
        <w:jc w:val="both"/>
        <w:rPr/>
      </w:pPr>
      <w:r>
        <w:rPr>
          <w:rFonts w:ascii="Times New Roman" w:hAnsi="Times New Roman"/>
          <w:color w:val="000000"/>
          <w:sz w:val="22"/>
          <w:u w:val="single"/>
        </w:rPr>
        <w:t>Termination of Ancillary Agreements</w:t>
      </w:r>
      <w:r>
        <w:rPr>
          <w:rFonts w:ascii="Times New Roman" w:hAnsi="Times New Roman"/>
          <w:color w:val="000000"/>
          <w:sz w:val="22"/>
        </w:rPr>
        <w: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3.1.</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The Parties hereby agree and acknowledge that the following agreements shall be terminated on the Termination Date. The details of wind-down activities for termination of the following agreements shall be discussed and agreed upon by the Parties separately in writing.</w:t>
      </w:r>
    </w:p>
    <w:p>
      <w:pPr>
        <w:pStyle w:val="Heading2"/>
        <w:pBdr/>
        <w:bidi w:val="0"/>
        <w:spacing w:before="0" w:after="240"/>
        <w:ind w:left="565" w:right="0" w:hanging="427"/>
        <w:jc w:val="left"/>
        <w:rPr>
          <w:rFonts w:ascii="Times New Roman" w:hAnsi="Times New Roman"/>
          <w:b w:val="false"/>
          <w:color w:val="000000"/>
          <w:sz w:val="22"/>
        </w:rPr>
      </w:pPr>
      <w:r>
        <w:rPr>
          <w:rFonts w:ascii="Times New Roman" w:hAnsi="Times New Roman"/>
          <w:b w:val="false"/>
          <w:color w:val="000000"/>
          <w:sz w:val="22"/>
        </w:rPr>
        <w:t>(a) Clinical Quality Agreement entered into between the Parties as of May 28, 2020</w:t>
      </w:r>
    </w:p>
    <w:p>
      <w:pPr>
        <w:pStyle w:val="Heading2"/>
        <w:pBdr/>
        <w:bidi w:val="0"/>
        <w:spacing w:before="0" w:after="240"/>
        <w:ind w:left="565" w:right="0" w:hanging="427"/>
        <w:jc w:val="left"/>
        <w:rPr>
          <w:rFonts w:ascii="Times New Roman" w:hAnsi="Times New Roman"/>
          <w:b w:val="false"/>
          <w:color w:val="000000"/>
          <w:sz w:val="22"/>
        </w:rPr>
      </w:pPr>
      <w:r>
        <w:rPr>
          <w:rFonts w:ascii="Times New Roman" w:hAnsi="Times New Roman"/>
          <w:b w:val="false"/>
          <w:color w:val="000000"/>
          <w:sz w:val="22"/>
        </w:rPr>
        <w:t>(b) Clinical Supply Agreement entered into between the Parties as of May 28, 2020, as amended as of August 24, 2022</w:t>
      </w:r>
    </w:p>
    <w:p>
      <w:pPr>
        <w:pStyle w:val="Heading2"/>
        <w:pBdr/>
        <w:bidi w:val="0"/>
        <w:spacing w:before="0" w:after="240"/>
        <w:ind w:left="565" w:right="0" w:hanging="427"/>
        <w:jc w:val="left"/>
        <w:rPr>
          <w:rFonts w:ascii="Times New Roman" w:hAnsi="Times New Roman"/>
          <w:b w:val="false"/>
          <w:color w:val="000000"/>
          <w:sz w:val="22"/>
        </w:rPr>
      </w:pPr>
      <w:r>
        <w:rPr>
          <w:rFonts w:ascii="Times New Roman" w:hAnsi="Times New Roman"/>
          <w:b w:val="false"/>
          <w:color w:val="000000"/>
          <w:sz w:val="22"/>
        </w:rPr>
        <w:t>(c) Phase 2/3 Clinical Quality Agreement entered into between the Parties as of August 26, 2022</w:t>
      </w:r>
    </w:p>
    <w:p>
      <w:pPr>
        <w:pStyle w:val="Heading2"/>
        <w:pBdr/>
        <w:bidi w:val="0"/>
        <w:spacing w:before="0" w:after="240"/>
        <w:ind w:left="565" w:right="0" w:hanging="427"/>
        <w:jc w:val="left"/>
        <w:rPr>
          <w:rFonts w:ascii="Times New Roman" w:hAnsi="Times New Roman"/>
          <w:b w:val="false"/>
          <w:color w:val="000000"/>
          <w:sz w:val="22"/>
        </w:rPr>
      </w:pPr>
      <w:r>
        <w:rPr>
          <w:rFonts w:ascii="Times New Roman" w:hAnsi="Times New Roman"/>
          <w:b w:val="false"/>
          <w:color w:val="000000"/>
          <w:sz w:val="22"/>
        </w:rPr>
        <w:t>(d) Clinical Study Agreement entered into between the Parties as of December 16, 2022, as amended as of April 14, 2023 and November 18, 2025</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3.2.</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Parties hereby agree and acknowledge that the Safety Data Exchange Agreement entered into between the Parties as of July 31, 2020 shall be terminated on the date when Kyorin submits the notification of discontinuation of development for the Licensed Product to the Regulatory Authority in the Kyorin Territory.</w:t>
      </w:r>
    </w:p>
    <w:p>
      <w:pPr>
        <w:pStyle w:val="TextBody"/>
        <w:bidi w:val="0"/>
        <w:jc w:val="center"/>
        <w:rPr>
          <w:rFonts w:ascii="Times New Roman" w:hAnsi="Times New Roman"/>
          <w:color w:val="000000"/>
          <w:sz w:val="24"/>
        </w:rPr>
      </w:pPr>
      <w:r>
        <w:rPr>
          <w:rFonts w:ascii="Times New Roman" w:hAnsi="Times New Roman"/>
          <w:color w:val="000000"/>
          <w:sz w:val="24"/>
        </w:rPr>
        <w:t>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4.</w:t>
      </w:r>
    </w:p>
    <w:p>
      <w:pPr>
        <w:pStyle w:val="TextBody"/>
        <w:bidi w:val="0"/>
        <w:spacing w:before="0" w:after="240"/>
        <w:jc w:val="both"/>
        <w:rPr/>
      </w:pPr>
      <w:r>
        <w:rPr>
          <w:rFonts w:ascii="Times New Roman" w:hAnsi="Times New Roman"/>
          <w:color w:val="000000"/>
          <w:sz w:val="22"/>
          <w:u w:val="single"/>
        </w:rPr>
        <w:t>Effect of Termination</w:t>
      </w:r>
      <w:r>
        <w:rPr>
          <w:rFonts w:ascii="Times New Roman" w:hAnsi="Times New Roman"/>
          <w:color w:val="000000"/>
          <w:sz w:val="22"/>
        </w:rPr>
        <w:t>. Notwithstanding the provisions of Section 13.5 of the Collaboration Agreement, the Parties hereby agree and acknowledge as follows:</w:t>
      </w:r>
    </w:p>
    <w:p>
      <w:pPr>
        <w:pStyle w:val="TextBody"/>
        <w:bidi w:val="0"/>
        <w:spacing w:before="0" w:after="240"/>
        <w:ind w:left="562" w:right="0" w:hanging="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Effective upon the Termination Date, all licenses granted under Section 7.1 of the Collaboration Agreement shall terminate, and all other rights and obligations of the Parties under the Collaboration Agreement will terminate, except as provided elsewhere in this Article 4 and in Article 5 below;</w:t>
      </w:r>
    </w:p>
    <w:p>
      <w:pPr>
        <w:pStyle w:val="TextBody"/>
        <w:bidi w:val="0"/>
        <w:spacing w:before="0" w:after="240"/>
        <w:ind w:left="562" w:right="0" w:hanging="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pPr>
      <w:r>
        <w:rPr>
          <w:rFonts w:ascii="Times New Roman" w:hAnsi="Times New Roman"/>
          <w:color w:val="000000"/>
          <w:sz w:val="22"/>
        </w:rPr>
        <w:t xml:space="preserve">Effective upon the Termination Date, Kyorin hereby grants (without any further action required on the part of Kyorin or aTyr) to aTyr and its Affiliates, (i) a worldwide, irrevocable, perpetual, royalty-free and fully paid-up, sublicenseable through multiple tiers (subject to Section 7.1.2.3 of the Collaboration Agreement, </w:t>
      </w:r>
      <w:r>
        <w:rPr>
          <w:rFonts w:ascii="Times New Roman" w:hAnsi="Times New Roman"/>
          <w:i/>
          <w:color w:val="000000"/>
          <w:sz w:val="22"/>
        </w:rPr>
        <w:t>mutatis mutandis</w:t>
      </w:r>
      <w:r>
        <w:rPr>
          <w:rFonts w:ascii="Times New Roman" w:hAnsi="Times New Roman"/>
          <w:color w:val="000000"/>
          <w:sz w:val="22"/>
        </w:rPr>
        <w:t>) and non</w:t>
        <w:noBreakHyphen/>
        <w:t xml:space="preserve">exclusive license under all Kyorin Background Technology necessary to Develop and Commercialize the Reversion Products, and (ii) a worldwide, irrevocable, perpetual, royalty-free and fully paid-up, sublicenseable through multiple tiers (subject to Section 7.1.2.3 of the Collaboration Agreement, </w:t>
      </w:r>
      <w:r>
        <w:rPr>
          <w:rFonts w:ascii="Times New Roman" w:hAnsi="Times New Roman"/>
          <w:i/>
          <w:color w:val="000000"/>
          <w:sz w:val="22"/>
        </w:rPr>
        <w:t>mutatis mutandis</w:t>
      </w:r>
      <w:r>
        <w:rPr>
          <w:rFonts w:ascii="Times New Roman" w:hAnsi="Times New Roman"/>
          <w:color w:val="000000"/>
          <w:sz w:val="22"/>
        </w:rPr>
        <w:t>) and exclusive (even as to Kyorin and its Affiliates) license under all New Kyorin IP (including, without limitation, the data, results, materials and information contained in the Handover Documents (as defined below) and the Essential Documents (as defined below)) and Kyorin’s interest in New Joint IP, to Develop and Commercialize the Reversion Products. The Parties hereby agree that Section 13.5.3.3 of the Collaboration Agreement shall terminate and be of no further force or effect as of the Termination Date;</w:t>
      </w:r>
    </w:p>
    <w:p>
      <w:pPr>
        <w:pStyle w:val="TextBody"/>
        <w:bidi w:val="0"/>
        <w:spacing w:before="0" w:after="240"/>
        <w:ind w:left="562" w:right="0" w:hanging="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pPr>
      <w:r>
        <w:rPr>
          <w:rFonts w:ascii="Times New Roman" w:hAnsi="Times New Roman"/>
          <w:color w:val="000000"/>
          <w:sz w:val="22"/>
        </w:rPr>
        <w:t>In addition to performing its obligations under paragraph (d) of this Article 4 (which paragraph shall survive the Termination Date), Kyorin shall, as promptly as practicable, use reasonable efforts to assign to aTyr or aTyr’s designee possession and ownership of the orphan drug designation for the Reversion Product (efzofitimod) in the Kyorin Territory under the applicable Laws (“</w:t>
      </w:r>
      <w:r>
        <w:rPr>
          <w:rFonts w:ascii="Times New Roman" w:hAnsi="Times New Roman"/>
          <w:b/>
          <w:color w:val="000000"/>
          <w:sz w:val="22"/>
        </w:rPr>
        <w:t>Orphan Drug Designation</w:t>
      </w:r>
      <w:r>
        <w:rPr>
          <w:color w:val="000000"/>
        </w:rPr>
        <w:t>”</w:t>
      </w:r>
      <w:r>
        <w:rPr>
          <w:rFonts w:ascii="Times New Roman" w:hAnsi="Times New Roman"/>
          <w:color w:val="000000"/>
          <w:sz w:val="22"/>
        </w:rPr>
        <w:t>), and aTyr shall, as promptly as practicable, use reasonable efforts to accept and take over the Orphan Drug Designation (such efforts by aTyr to include securing an “In-Country Clinical Caretaker” who will be a formal representative of aTyr for that purpose);</w:t>
      </w:r>
    </w:p>
    <w:p>
      <w:pPr>
        <w:pStyle w:val="TextBody"/>
        <w:bidi w:val="0"/>
        <w:spacing w:before="0" w:after="240"/>
        <w:ind w:left="562" w:right="0" w:hanging="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pPr>
      <w:r>
        <w:rPr>
          <w:rFonts w:ascii="Times New Roman" w:hAnsi="Times New Roman"/>
          <w:color w:val="000000"/>
          <w:sz w:val="22"/>
        </w:rPr>
        <w:t xml:space="preserve">Kyorin shall: (i) as promptly as practicable after the Termination Date, transfer to aTyr or aTyr’s designee all data, reports, records, materials and information regarding the Reversion Products as listed in </w:t>
      </w:r>
      <w:r>
        <w:rPr>
          <w:rFonts w:ascii="Times New Roman" w:hAnsi="Times New Roman"/>
          <w:b/>
          <w:color w:val="000000"/>
          <w:sz w:val="22"/>
        </w:rPr>
        <w:t>Schedule 1</w:t>
      </w:r>
      <w:r>
        <w:rPr>
          <w:color w:val="000000"/>
        </w:rPr>
        <w:t xml:space="preserve"> </w:t>
      </w:r>
      <w:r>
        <w:rPr>
          <w:rFonts w:ascii="Times New Roman" w:hAnsi="Times New Roman"/>
          <w:color w:val="000000"/>
          <w:sz w:val="22"/>
        </w:rPr>
        <w:t>attached hereto (“</w:t>
      </w:r>
      <w:r>
        <w:rPr>
          <w:rFonts w:ascii="Times New Roman" w:hAnsi="Times New Roman"/>
          <w:b/>
          <w:color w:val="000000"/>
          <w:sz w:val="22"/>
        </w:rPr>
        <w:t>Handover Documents</w:t>
      </w:r>
      <w:r>
        <w:rPr>
          <w:color w:val="000000"/>
        </w:rPr>
        <w:t>”</w:t>
      </w:r>
      <w:r>
        <w:rPr>
          <w:rFonts w:ascii="Times New Roman" w:hAnsi="Times New Roman"/>
          <w:color w:val="000000"/>
          <w:sz w:val="22"/>
        </w:rPr>
        <w:t xml:space="preserve">); and (ii) as promptly as practicable after the Termination Date, transfer to aTyr or aTyr’s designee all data, reports, records, materials and information regarding the Reversion Products as listed in </w:t>
      </w:r>
      <w:r>
        <w:rPr>
          <w:rFonts w:ascii="Times New Roman" w:hAnsi="Times New Roman"/>
          <w:b/>
          <w:color w:val="000000"/>
          <w:sz w:val="22"/>
        </w:rPr>
        <w:t>Schedule 2</w:t>
      </w:r>
      <w:r>
        <w:rPr>
          <w:color w:val="000000"/>
        </w:rPr>
        <w:t xml:space="preserve"> </w:t>
      </w:r>
      <w:r>
        <w:rPr>
          <w:rFonts w:ascii="Times New Roman" w:hAnsi="Times New Roman"/>
          <w:color w:val="000000"/>
          <w:sz w:val="22"/>
        </w:rPr>
        <w:t>attached hereto (“</w:t>
      </w:r>
      <w:r>
        <w:rPr>
          <w:rFonts w:ascii="Times New Roman" w:hAnsi="Times New Roman"/>
          <w:b/>
          <w:color w:val="000000"/>
          <w:sz w:val="22"/>
        </w:rPr>
        <w:t>Essential Documents</w:t>
      </w:r>
      <w:r>
        <w:rPr>
          <w:color w:val="000000"/>
        </w:rPr>
        <w:t>”</w:t>
      </w:r>
      <w:r>
        <w:rPr>
          <w:rFonts w:ascii="Times New Roman" w:hAnsi="Times New Roman"/>
          <w:color w:val="000000"/>
          <w:sz w:val="22"/>
        </w:rPr>
        <w:t xml:space="preserve">). In addition, effective as of the Termination Date, Kyorin hereby grants to aTyr the right to access, reference and use (without any further action required on the part of Kyorin, whose authorization to file this consent with any Regulatory Authority is hereby granted) any and all Regulatory Filings, Regulatory Materials, and other governmental or regulatory filings of Kyorin with Regulatory Authorities in the Kyorin Territory relating to the Development or Manufacture of the Reversion Product. Notwithstanding any other provision of this Agreement to the contrary, the grant by Kyorin to aTyr under the immediately preceding sentence shall survive the Termination Date in perpetuity; </w:t>
      </w:r>
    </w:p>
    <w:p>
      <w:pPr>
        <w:pStyle w:val="TextBody"/>
        <w:bidi w:val="0"/>
        <w:spacing w:before="0" w:after="240"/>
        <w:ind w:left="562" w:right="0" w:hanging="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Kyorin shall continue to fulfill its role as a sponsor of Phase 1 Study and Phase 3 Study in the Kyorin Territory to conduct the correspondences with each individual clinical site thereof for archiving the clinical documents and materials in compliance with applicable Laws in the Kyorin Territory (such role to include bearing storage fees of the related clinical documents and materials incurred by the clinical sites) for the period up to expiration of the regulatory archival period under the applicable Laws in the Kyorin Territory, and thereafter Kyorin shall, as promptly as practicable, assign such role of Kyorin to aTyr or aTyr’s designee and aTyr shall accept and take over the same; </w:t>
      </w:r>
    </w:p>
    <w:p>
      <w:pPr>
        <w:pStyle w:val="TextBody"/>
        <w:bidi w:val="0"/>
        <w:jc w:val="center"/>
        <w:rPr>
          <w:rFonts w:ascii="Times New Roman" w:hAnsi="Times New Roman"/>
          <w:color w:val="000000"/>
          <w:sz w:val="22"/>
        </w:rPr>
      </w:pPr>
      <w:r>
        <w:rPr>
          <w:rFonts w:ascii="Times New Roman" w:hAnsi="Times New Roman"/>
          <w:color w:val="000000"/>
          <w:sz w:val="22"/>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562" w:right="0" w:hanging="0"/>
        <w:jc w:val="both"/>
        <w:rPr>
          <w:rFonts w:ascii="Times New Roman" w:hAnsi="Times New Roman"/>
          <w:color w:val="000000"/>
          <w:sz w:val="22"/>
        </w:rPr>
      </w:pPr>
      <w:r>
        <w:rPr>
          <w:rFonts w:ascii="Times New Roman" w:hAnsi="Times New Roman"/>
          <w:color w:val="000000"/>
          <w:sz w:val="22"/>
        </w:rPr>
        <w:t>(f)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Except in the case of aTyr for any Confidential Information that is the subject of the licenses set forth in paragraph (b) of this Article 4 above, each Party shall promptly destroy (and certify to the other Party in writing as to such destruction) all of such other Party's Confidential Information provided by or on behalf of such other Party hereunder that is in the possession or control of such Party (or any of its Affiliates or subcontractors), except that such Party will have the right to retain one (1) copy of intangible Confidential Information of such other Party for legal purposes; </w:t>
      </w:r>
    </w:p>
    <w:p>
      <w:pPr>
        <w:pStyle w:val="TextBody"/>
        <w:bidi w:val="0"/>
        <w:spacing w:before="0" w:after="240"/>
        <w:ind w:left="562" w:right="0" w:hanging="0"/>
        <w:jc w:val="both"/>
        <w:rPr>
          <w:rFonts w:ascii="Times New Roman" w:hAnsi="Times New Roman"/>
          <w:color w:val="000000"/>
          <w:sz w:val="22"/>
        </w:rPr>
      </w:pPr>
      <w:r>
        <w:rPr>
          <w:rFonts w:ascii="Times New Roman" w:hAnsi="Times New Roman"/>
          <w:color w:val="000000"/>
          <w:sz w:val="22"/>
        </w:rPr>
        <w:t>(g)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JSC (and any subcommittees thereof) shall be dissolved as of the Termination Date;</w:t>
      </w:r>
    </w:p>
    <w:p>
      <w:pPr>
        <w:pStyle w:val="TextBody"/>
        <w:bidi w:val="0"/>
        <w:spacing w:before="0" w:after="240"/>
        <w:ind w:left="562" w:right="0" w:hanging="0"/>
        <w:jc w:val="both"/>
        <w:rPr>
          <w:rFonts w:ascii="Times New Roman" w:hAnsi="Times New Roman"/>
          <w:color w:val="000000"/>
          <w:sz w:val="22"/>
        </w:rPr>
      </w:pPr>
      <w:r>
        <w:rPr>
          <w:rFonts w:ascii="Times New Roman" w:hAnsi="Times New Roman"/>
          <w:color w:val="000000"/>
          <w:sz w:val="22"/>
        </w:rPr>
        <w:t>(h)</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Kyorin shall provide any other assistance reasonably requested by aTyr for the purpose of ensuring an orderly transition to aTyr or its designee of, and allowing aTyr or its designee to proceed expeditiously with, the Development of Reversion Products. Without limiting the foregoing, Kyorin shall execute all documents and take all such further actions as may be reasonably requested by aTyr, at aTyr’s cost, in order to give effect to the foregoing clauses;</w:t>
      </w:r>
    </w:p>
    <w:p>
      <w:pPr>
        <w:pStyle w:val="TextBody"/>
        <w:bidi w:val="0"/>
        <w:spacing w:before="0" w:after="240"/>
        <w:ind w:left="562" w:right="0" w:hanging="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Unless otherwise set forth in the foregoing clauses or elsewhere in this Agreement, Kyorin’s obligations under this Article 4 shall expire in twelve (12) months after the Termination Date or upon completion of the transition under the relevant clause in this Article 4; provided that in either case, aTyr shall use reasonable efforts to complete the transition as soon as practically possible; and</w:t>
      </w:r>
    </w:p>
    <w:p>
      <w:pPr>
        <w:pStyle w:val="TextBody"/>
        <w:bidi w:val="0"/>
        <w:spacing w:before="0" w:after="240"/>
        <w:ind w:left="562" w:right="0" w:hanging="0"/>
        <w:jc w:val="both"/>
        <w:rPr>
          <w:rFonts w:ascii="Times New Roman" w:hAnsi="Times New Roman"/>
          <w:color w:val="000000"/>
          <w:sz w:val="22"/>
        </w:rPr>
      </w:pPr>
      <w:r>
        <w:rPr>
          <w:rFonts w:ascii="Times New Roman" w:hAnsi="Times New Roman"/>
          <w:color w:val="000000"/>
          <w:sz w:val="22"/>
        </w:rPr>
        <w:t>(j)</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Parties hereby agree and acknowledge that there are no outstanding payments from Kyorin to aTyr regarding the Development Costs.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5.</w:t>
      </w:r>
    </w:p>
    <w:p>
      <w:pPr>
        <w:pStyle w:val="TextBody"/>
        <w:bidi w:val="0"/>
        <w:spacing w:before="0" w:after="240"/>
        <w:jc w:val="both"/>
        <w:rPr/>
      </w:pPr>
      <w:r>
        <w:rPr>
          <w:rFonts w:ascii="Times New Roman" w:hAnsi="Times New Roman"/>
          <w:color w:val="000000"/>
          <w:sz w:val="22"/>
          <w:u w:val="single"/>
        </w:rPr>
        <w:t>Survival Clauses</w:t>
      </w:r>
      <w:r>
        <w:rPr>
          <w:rFonts w:ascii="Times New Roman" w:hAnsi="Times New Roman"/>
          <w:color w:val="000000"/>
          <w:sz w:val="22"/>
        </w:rPr>
        <w:t xml:space="preserve">. Notwithstanding the provisions of Section 13.8 of the Collaboration Agreement, the following provisions shall survive termination of the Collaboration Agreement hereunder: Section 1, 8.7.3 (for the period described therein), 9 (for the period of three (3) years), 10.3, 11, 12.1, 12.2 and 14 of the Collaboration Agreement.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w:t>
      </w:r>
    </w:p>
    <w:p>
      <w:pPr>
        <w:pStyle w:val="TextBody"/>
        <w:bidi w:val="0"/>
        <w:spacing w:before="0" w:after="240"/>
        <w:jc w:val="both"/>
        <w:rPr/>
      </w:pPr>
      <w:r>
        <w:rPr>
          <w:rFonts w:ascii="Times New Roman" w:hAnsi="Times New Roman"/>
          <w:color w:val="000000"/>
          <w:sz w:val="22"/>
          <w:u w:val="single"/>
        </w:rPr>
        <w:t>Press Release</w:t>
      </w:r>
      <w:r>
        <w:rPr>
          <w:rFonts w:ascii="Times New Roman" w:hAnsi="Times New Roman"/>
          <w:color w:val="000000"/>
          <w:sz w:val="22"/>
        </w:rPr>
        <w:t>. Each Party may issue a press release or public announcement relating to this Agreement with the prior written approval of the other Party (such approval not to be unreasonably withheld, conditioned or delayed).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7.</w:t>
      </w:r>
    </w:p>
    <w:p>
      <w:pPr>
        <w:pStyle w:val="TextBody"/>
        <w:bidi w:val="0"/>
        <w:spacing w:before="0" w:after="240"/>
        <w:jc w:val="both"/>
        <w:rPr/>
      </w:pPr>
      <w:r>
        <w:rPr>
          <w:rFonts w:ascii="Times New Roman" w:hAnsi="Times New Roman"/>
          <w:color w:val="000000"/>
          <w:sz w:val="22"/>
          <w:u w:val="single"/>
        </w:rPr>
        <w:t>Mutual Release</w:t>
      </w:r>
      <w:r>
        <w:rPr>
          <w:rFonts w:ascii="Times New Roman" w:hAnsi="Times New Roman"/>
          <w:color w:val="000000"/>
          <w:sz w:val="22"/>
        </w:rPr>
        <w:t>. Each Party, for itself and its predecessors, successors, parents, subsidiaries, heirs, assigns, security holders, officers, directors or other representatives or agents, hereby releases fully and completely any and all claims it may have against the other Party under the Collaboration Agreement solely to the extent such claim arises out of or relates to any event, circumstance, act, conduct or omission occurring on or before the Termination Date. Nothing herein shall preclude a Party from pursuing any claim with respect to any breach by the other Party of this Agreement or any breach by the other Party of any of the provisions contained in the Collaboration Agreement that survive termination as expressly set forth in Article 4 or Article 5 above.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8.</w:t>
      </w:r>
    </w:p>
    <w:p>
      <w:pPr>
        <w:pStyle w:val="TextBody"/>
        <w:bidi w:val="0"/>
        <w:spacing w:before="0" w:after="240"/>
        <w:jc w:val="both"/>
        <w:rPr/>
      </w:pPr>
      <w:r>
        <w:rPr>
          <w:rFonts w:ascii="Times New Roman" w:hAnsi="Times New Roman"/>
          <w:color w:val="000000"/>
          <w:sz w:val="22"/>
          <w:u w:val="single"/>
        </w:rPr>
        <w:t>Expenses</w:t>
      </w:r>
      <w:r>
        <w:rPr>
          <w:rFonts w:ascii="Times New Roman" w:hAnsi="Times New Roman"/>
          <w:color w:val="000000"/>
          <w:sz w:val="22"/>
        </w:rPr>
        <w:t>. Except as otherwise expressly provided in this Agreement, each Party shall bear its respective expenses incurred in connection with the preparation, execution and performance of this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9.</w:t>
      </w:r>
    </w:p>
    <w:p>
      <w:pPr>
        <w:pStyle w:val="TextBody"/>
        <w:bidi w:val="0"/>
        <w:spacing w:before="0" w:after="240"/>
        <w:jc w:val="both"/>
        <w:rPr/>
      </w:pPr>
      <w:r>
        <w:rPr>
          <w:rFonts w:ascii="Times New Roman" w:hAnsi="Times New Roman"/>
          <w:color w:val="000000"/>
          <w:sz w:val="22"/>
          <w:u w:val="single"/>
        </w:rPr>
        <w:t>Entire Agreement and Modification</w:t>
      </w:r>
      <w:r>
        <w:rPr>
          <w:rFonts w:ascii="Times New Roman" w:hAnsi="Times New Roman"/>
          <w:color w:val="000000"/>
          <w:sz w:val="22"/>
        </w:rPr>
        <w:t>. This Agreement (including the Schedules hereto, which are incorporated herein by reference), together with the surviving provisions of the Collaboration Agreement as expressly set forth in Article 4 or Article 5 above, supersedes all prior agreements between the Parties with respect to its subject matter and constitutes a complete and exclusive statement of the terms of the agreement between the Parties with respect to its subject matter. This Agreement may not be amended, supplemented or otherwise modified except in a written document making specific reference to this Agreement signed by the Parties.</w:t>
      </w:r>
    </w:p>
    <w:p>
      <w:pPr>
        <w:pStyle w:val="TextBody"/>
        <w:bidi w:val="0"/>
        <w:jc w:val="center"/>
        <w:rPr>
          <w:rFonts w:ascii="Times New Roman" w:hAnsi="Times New Roman"/>
          <w:color w:val="000000"/>
          <w:sz w:val="22"/>
        </w:rPr>
      </w:pPr>
      <w:r>
        <w:rPr>
          <w:rFonts w:ascii="Times New Roman" w:hAnsi="Times New Roman"/>
          <w:color w:val="000000"/>
          <w:sz w:val="22"/>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10.</w:t>
      </w:r>
    </w:p>
    <w:p>
      <w:pPr>
        <w:pStyle w:val="TextBody"/>
        <w:bidi w:val="0"/>
        <w:spacing w:before="0" w:after="240"/>
        <w:jc w:val="both"/>
        <w:rPr/>
      </w:pPr>
      <w:r>
        <w:rPr>
          <w:rFonts w:ascii="Times New Roman" w:hAnsi="Times New Roman"/>
          <w:color w:val="000000"/>
          <w:sz w:val="22"/>
          <w:u w:val="single"/>
        </w:rPr>
        <w:t>Severability</w:t>
      </w:r>
      <w:r>
        <w:rPr>
          <w:rFonts w:ascii="Times New Roman" w:hAnsi="Times New Roman"/>
          <w:color w:val="000000"/>
          <w:sz w:val="22"/>
        </w:rPr>
        <w:t>. If a court of competent jurisdiction holds any provision of this Agreement invalid or unenforceable, the other provisions of this Agreement shall remain in full force and effect. Any provision of this Agreement held invalid or unenforceable only in part or degree shall remain in full force and effect to the extent not held invalid or unenforceable.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11.</w:t>
      </w:r>
    </w:p>
    <w:p>
      <w:pPr>
        <w:pStyle w:val="TextBody"/>
        <w:bidi w:val="0"/>
        <w:spacing w:before="0" w:after="240"/>
        <w:jc w:val="both"/>
        <w:rPr/>
      </w:pPr>
      <w:r>
        <w:rPr>
          <w:rFonts w:ascii="Times New Roman" w:hAnsi="Times New Roman"/>
          <w:color w:val="000000"/>
          <w:sz w:val="22"/>
          <w:u w:val="single"/>
        </w:rPr>
        <w:t>Waiver</w:t>
      </w:r>
      <w:r>
        <w:rPr>
          <w:rFonts w:ascii="Times New Roman" w:hAnsi="Times New Roman"/>
          <w:color w:val="000000"/>
          <w:sz w:val="22"/>
        </w:rPr>
        <w:t xml:space="preserve">. The rights and remedies of the Parties to this Agreement are cumulative and not alternative. Neither any failure nor any delay by a Party in exercising any right, power or privilege under this Agreement or any of the documents referred to in this Agreement shall operate as a waiver of such right, power or privilege, and no single or partial exercise of any such right, power or privilege shall preclude any other or further exercise of such right, power or privilege or the exercise of any other right, power or privilege.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12.</w:t>
      </w:r>
    </w:p>
    <w:p>
      <w:pPr>
        <w:pStyle w:val="TextBody"/>
        <w:bidi w:val="0"/>
        <w:spacing w:before="0" w:after="240"/>
        <w:jc w:val="both"/>
        <w:rPr/>
      </w:pPr>
      <w:r>
        <w:rPr>
          <w:rFonts w:ascii="Times New Roman" w:hAnsi="Times New Roman"/>
          <w:color w:val="000000"/>
          <w:sz w:val="22"/>
          <w:u w:val="single"/>
        </w:rPr>
        <w:t>Governing Law</w:t>
      </w:r>
      <w:r>
        <w:rPr>
          <w:rFonts w:ascii="Times New Roman" w:hAnsi="Times New Roman"/>
          <w:color w:val="000000"/>
          <w:sz w:val="22"/>
        </w:rPr>
        <w:t>. This Agreement shall be governed by and construed under the laws of Switzerland, without regard to conflicts of laws principles that would require the application of any other law.</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13.</w:t>
      </w:r>
    </w:p>
    <w:p>
      <w:pPr>
        <w:pStyle w:val="TextBody"/>
        <w:bidi w:val="0"/>
        <w:spacing w:before="0" w:after="240"/>
        <w:jc w:val="both"/>
        <w:rPr/>
      </w:pPr>
      <w:r>
        <w:rPr>
          <w:rFonts w:ascii="Times New Roman" w:hAnsi="Times New Roman"/>
          <w:color w:val="000000"/>
          <w:sz w:val="22"/>
          <w:u w:val="single"/>
        </w:rPr>
        <w:t>Arbitration</w:t>
      </w:r>
      <w:r>
        <w:rPr>
          <w:rFonts w:ascii="Times New Roman" w:hAnsi="Times New Roman"/>
          <w:color w:val="000000"/>
          <w:sz w:val="22"/>
        </w:rPr>
        <w:t>. All disputes, controversies, or differences which may arise between the Parties out of or in relation to or in connection with this Agreement, or of the breach hereof, shall be subject to Section 14.3 of the Collaboration Agreement mutatis mutandis.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14.</w:t>
      </w:r>
    </w:p>
    <w:p>
      <w:pPr>
        <w:pStyle w:val="TextBody"/>
        <w:bidi w:val="0"/>
        <w:spacing w:before="0" w:after="240"/>
        <w:jc w:val="both"/>
        <w:rPr/>
      </w:pPr>
      <w:r>
        <w:rPr>
          <w:rFonts w:ascii="Times New Roman" w:hAnsi="Times New Roman"/>
          <w:color w:val="000000"/>
          <w:sz w:val="22"/>
          <w:u w:val="single"/>
        </w:rPr>
        <w:t>Due Authorization</w:t>
      </w:r>
      <w:r>
        <w:rPr>
          <w:rFonts w:ascii="Times New Roman" w:hAnsi="Times New Roman"/>
          <w:color w:val="000000"/>
          <w:sz w:val="22"/>
        </w:rPr>
        <w:t>. Each Party represents and warrants that it has all requisite power, authority and capacity to execute, deliver and perform its obligations under this Agreement, that such Party’s execution, delivery and performance of this Agreement have been duly authorized by all necessary action on its part, that such Party has not transferred any of its rights or obligations under or related to the Collaboration Agreement to any other person or entity, that this Agreement is a valid and binding obligation of such Party enforceable against such Party in accordance with its terms, and that the person executing this Agreement on behalf of such Party is authorized and empowered to do so.</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15.</w:t>
      </w:r>
    </w:p>
    <w:p>
      <w:pPr>
        <w:pStyle w:val="TextBody"/>
        <w:bidi w:val="0"/>
        <w:spacing w:before="0" w:after="240"/>
        <w:jc w:val="both"/>
        <w:rPr/>
      </w:pPr>
      <w:r>
        <w:rPr>
          <w:rFonts w:ascii="Times New Roman" w:hAnsi="Times New Roman"/>
          <w:color w:val="000000"/>
          <w:sz w:val="22"/>
          <w:u w:val="single"/>
        </w:rPr>
        <w:t>Intellectual Property Disclosure</w:t>
      </w:r>
      <w:r>
        <w:rPr>
          <w:rFonts w:ascii="Times New Roman" w:hAnsi="Times New Roman"/>
          <w:color w:val="000000"/>
          <w:sz w:val="22"/>
        </w:rPr>
        <w:t>. Kyorin represents and warrants to aTyr that it has fully, accurately, and in good faith disclosed, transferred, or made available to aTyr all material technical data, clinical results, and proprietary information contained in New Kyorin IP or Kyorin Background Technology within its possession or control that are necessary, or reasonably useful, to fully transition, Develop, and Commercialize the Reversion Products in accordance with Article 4 of this Agreement. Kyorin further represents that it has not intentionally withheld, omitted, or misstated any material item, data, or document required to be provided under Schedule 1 (Handover Documents) or Schedule 2 (Essential Documents).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16.</w:t>
      </w:r>
    </w:p>
    <w:p>
      <w:pPr>
        <w:pStyle w:val="TextBody"/>
        <w:bidi w:val="0"/>
        <w:spacing w:before="0" w:after="240"/>
        <w:jc w:val="both"/>
        <w:rPr/>
      </w:pPr>
      <w:r>
        <w:rPr>
          <w:rFonts w:ascii="Times New Roman" w:hAnsi="Times New Roman"/>
          <w:color w:val="000000"/>
          <w:sz w:val="22"/>
          <w:u w:val="single"/>
        </w:rPr>
        <w:t>Necessary Acts</w:t>
      </w:r>
      <w:r>
        <w:rPr>
          <w:rFonts w:ascii="Times New Roman" w:hAnsi="Times New Roman"/>
          <w:color w:val="000000"/>
          <w:sz w:val="22"/>
        </w:rPr>
        <w:t>. Each Party agrees to perform any and all acts as well as execute any and all documents that may be necessary or desirable to fully carry out the provisions and intent of this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17.</w:t>
      </w:r>
    </w:p>
    <w:p>
      <w:pPr>
        <w:pStyle w:val="TextBody"/>
        <w:bidi w:val="0"/>
        <w:spacing w:before="0" w:after="240"/>
        <w:jc w:val="both"/>
        <w:rPr/>
      </w:pPr>
      <w:r>
        <w:rPr>
          <w:rFonts w:ascii="Times New Roman" w:hAnsi="Times New Roman"/>
          <w:color w:val="000000"/>
          <w:sz w:val="22"/>
          <w:u w:val="single"/>
        </w:rPr>
        <w:t>Counterparts</w:t>
      </w:r>
      <w:r>
        <w:rPr>
          <w:rFonts w:ascii="Times New Roman" w:hAnsi="Times New Roman"/>
          <w:color w:val="000000"/>
          <w:sz w:val="22"/>
        </w:rPr>
        <w:t>. This Agreement may be executed in one or more counterparts, all of which shall together represent one and the same agreement and all signatures need not appear on any one counterpart. This Agreement may be executed by delivery of duly authorized and executed signature pages by facsimile or other electronical format, including, without limitation, PDF format. If this Agreement is executed electronically, the Parties agree that an electronic signature will be legally binding. Neither Party may contest the enforceability of this Agreement on the basis that it was executed electronically.</w:t>
      </w:r>
    </w:p>
    <w:p>
      <w:pPr>
        <w:pStyle w:val="TextBody"/>
        <w:bidi w:val="0"/>
        <w:jc w:val="both"/>
        <w:rPr/>
      </w:pPr>
      <w:r>
        <w:rPr/>
        <w:t> </w:t>
      </w:r>
    </w:p>
    <w:p>
      <w:pPr>
        <w:pStyle w:val="TextBody"/>
        <w:bidi w:val="0"/>
        <w:jc w:val="both"/>
        <w:rPr/>
      </w:pPr>
      <w:r>
        <w:rPr/>
        <w:t> </w:t>
      </w:r>
    </w:p>
    <w:p>
      <w:pPr>
        <w:pStyle w:val="TextBody"/>
        <w:bidi w:val="0"/>
        <w:ind w:left="0" w:right="0" w:firstLine="720"/>
        <w:jc w:val="center"/>
        <w:rPr>
          <w:rFonts w:ascii="Times New Roman" w:hAnsi="Times New Roman"/>
          <w:color w:val="000000"/>
          <w:sz w:val="22"/>
        </w:rPr>
      </w:pPr>
      <w:r>
        <w:rPr>
          <w:rFonts w:ascii="Times New Roman" w:hAnsi="Times New Roman"/>
          <w:color w:val="000000"/>
          <w:sz w:val="22"/>
        </w:rPr>
        <w:t>[Signature Page Follows]</w:t>
      </w:r>
    </w:p>
    <w:p>
      <w:pPr>
        <w:pStyle w:val="TextBody"/>
        <w:bidi w:val="0"/>
        <w:jc w:val="center"/>
        <w:rPr>
          <w:rFonts w:ascii="Times New Roman" w:hAnsi="Times New Roman"/>
          <w:color w:val="000000"/>
          <w:sz w:val="22"/>
        </w:rPr>
      </w:pPr>
      <w:r>
        <w:rPr>
          <w:rFonts w:ascii="Times New Roman" w:hAnsi="Times New Roman"/>
          <w:color w:val="000000"/>
          <w:sz w:val="22"/>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ind w:left="0" w:right="0" w:firstLine="720"/>
        <w:jc w:val="both"/>
        <w:rPr>
          <w:rFonts w:ascii="Times New Roman" w:hAnsi="Times New Roman"/>
          <w:color w:val="000000"/>
          <w:sz w:val="22"/>
        </w:rPr>
      </w:pPr>
      <w:r>
        <w:rPr>
          <w:rFonts w:ascii="Times New Roman" w:hAnsi="Times New Roman"/>
          <w:color w:val="000000"/>
          <w:sz w:val="22"/>
        </w:rPr>
        <w:t>IN WITNESS WHEREOF, the Parties have executed this Agreement as of the Execution Date.</w:t>
      </w:r>
    </w:p>
    <w:p>
      <w:pPr>
        <w:pStyle w:val="TextBody"/>
        <w:bidi w:val="0"/>
        <w:ind w:left="0" w:right="0" w:firstLine="720"/>
        <w:jc w:val="both"/>
        <w:rPr/>
      </w:pPr>
      <w:r>
        <w:rPr/>
        <w:t> </w:t>
      </w:r>
    </w:p>
    <w:tbl>
      <w:tblPr>
        <w:tblW w:w="8833" w:type="dxa"/>
        <w:jc w:val="left"/>
        <w:tblInd w:w="0" w:type="dxa"/>
        <w:tblLayout w:type="fixed"/>
        <w:tblCellMar>
          <w:top w:w="28" w:type="dxa"/>
          <w:left w:w="28" w:type="dxa"/>
          <w:bottom w:w="28" w:type="dxa"/>
          <w:right w:w="28" w:type="dxa"/>
        </w:tblCellMar>
      </w:tblPr>
      <w:tblGrid>
        <w:gridCol w:w="4201"/>
        <w:gridCol w:w="146"/>
        <w:gridCol w:w="4486"/>
      </w:tblGrid>
      <w:tr>
        <w:trPr/>
        <w:tc>
          <w:tcPr>
            <w:tcW w:w="4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86" w:type="dxa"/>
            <w:tcBorders/>
            <w:vAlign w:val="center"/>
          </w:tcPr>
          <w:p>
            <w:pPr>
              <w:pStyle w:val="TableContents"/>
              <w:bidi w:val="0"/>
              <w:spacing w:before="0" w:after="283"/>
              <w:jc w:val="left"/>
              <w:rPr>
                <w:sz w:val="4"/>
                <w:szCs w:val="4"/>
              </w:rPr>
            </w:pPr>
            <w:r>
              <w:rPr>
                <w:sz w:val="4"/>
                <w:szCs w:val="4"/>
              </w:rPr>
            </w:r>
          </w:p>
        </w:tc>
      </w:tr>
      <w:tr>
        <w:trPr/>
        <w:tc>
          <w:tcPr>
            <w:tcW w:w="42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bottom w:val="single" w:sz="4" w:space="0" w:color="000000"/>
            </w:tcBorders>
            <w:tcMar>
              <w:top w:w="0" w:type="dxa"/>
              <w:left w:w="0" w:type="dxa"/>
              <w:right w:w="0" w:type="dxa"/>
            </w:tcMar>
            <w:vAlign w:val="center"/>
          </w:tcPr>
          <w:p>
            <w:pPr>
              <w:pStyle w:val="TableContents"/>
              <w:bidi w:val="0"/>
              <w:jc w:val="left"/>
              <w:rPr>
                <w:rFonts w:ascii="Times New Roman" w:hAnsi="Times New Roman"/>
                <w:b/>
                <w:color w:val="000000"/>
                <w:sz w:val="22"/>
              </w:rPr>
            </w:pPr>
            <w:r>
              <w:rPr>
                <w:rFonts w:ascii="Times New Roman" w:hAnsi="Times New Roman"/>
                <w:b/>
                <w:color w:val="000000"/>
                <w:sz w:val="22"/>
              </w:rPr>
              <w:t>ATYR PHARMA, INC.</w:t>
            </w:r>
          </w:p>
          <w:p>
            <w:pPr>
              <w:pStyle w:val="TableContents"/>
              <w:bidi w:val="0"/>
              <w:jc w:val="left"/>
              <w:rPr/>
            </w:pPr>
            <w:r>
              <w:rPr/>
              <w:t> </w:t>
            </w:r>
          </w:p>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 /s/ Sanjay Shukla</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486" w:type="dxa"/>
            <w:tcBorders>
              <w:bottom w:val="single" w:sz="4" w:space="0" w:color="000000"/>
            </w:tcBorders>
            <w:tcMar>
              <w:top w:w="0" w:type="dxa"/>
              <w:left w:w="0" w:type="dxa"/>
              <w:right w:w="0" w:type="dxa"/>
            </w:tcMar>
            <w:vAlign w:val="center"/>
          </w:tcPr>
          <w:p>
            <w:pPr>
              <w:pStyle w:val="TableContents"/>
              <w:bidi w:val="0"/>
              <w:jc w:val="left"/>
              <w:rPr>
                <w:rFonts w:ascii="Times New Roman" w:hAnsi="Times New Roman"/>
                <w:b/>
                <w:color w:val="000000"/>
                <w:sz w:val="22"/>
              </w:rPr>
            </w:pPr>
            <w:r>
              <w:rPr>
                <w:rFonts w:ascii="Times New Roman" w:hAnsi="Times New Roman"/>
                <w:b/>
                <w:color w:val="000000"/>
                <w:sz w:val="22"/>
              </w:rPr>
              <w:t>KYORIN PHARMACEUTICAL CO., LTD.</w:t>
            </w:r>
          </w:p>
          <w:p>
            <w:pPr>
              <w:pStyle w:val="TableContents"/>
              <w:bidi w:val="0"/>
              <w:jc w:val="left"/>
              <w:rPr/>
            </w:pPr>
            <w:r>
              <w:rPr/>
              <w:t> </w:t>
            </w:r>
          </w:p>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 /s/ Yutaka Ogihara</w:t>
            </w:r>
          </w:p>
        </w:tc>
      </w:tr>
      <w:tr>
        <w:trPr/>
        <w:tc>
          <w:tcPr>
            <w:tcW w:w="4201" w:type="dxa"/>
            <w:tcBorders/>
            <w:tcMar>
              <w:top w:w="0" w:type="dxa"/>
              <w:left w:w="0" w:type="dxa"/>
              <w:bottom w:w="0" w:type="dxa"/>
              <w:right w:w="0" w:type="dxa"/>
            </w:tcMar>
            <w:vAlign w:val="center"/>
          </w:tcPr>
          <w:p>
            <w:pPr>
              <w:pStyle w:val="TableContents"/>
              <w:bidi w:val="0"/>
              <w:jc w:val="both"/>
              <w:rPr/>
            </w:pPr>
            <w:r>
              <w:rPr/>
              <w:t> </w:t>
            </w:r>
          </w:p>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Name: Sanjay S. Shukla, M.D., M.S.</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486" w:type="dxa"/>
            <w:tcBorders/>
            <w:tcMar>
              <w:top w:w="0" w:type="dxa"/>
              <w:left w:w="0" w:type="dxa"/>
              <w:bottom w:w="0" w:type="dxa"/>
              <w:right w:w="0" w:type="dxa"/>
            </w:tcMar>
            <w:vAlign w:val="center"/>
          </w:tcPr>
          <w:p>
            <w:pPr>
              <w:pStyle w:val="TableContents"/>
              <w:bidi w:val="0"/>
              <w:jc w:val="both"/>
              <w:rPr/>
            </w:pPr>
            <w:r>
              <w:rPr/>
              <w:t> </w:t>
            </w:r>
          </w:p>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Name: Yutaka Ogihara</w:t>
            </w:r>
          </w:p>
        </w:tc>
      </w:tr>
      <w:tr>
        <w:trPr/>
        <w:tc>
          <w:tcPr>
            <w:tcW w:w="4201" w:type="dxa"/>
            <w:tcBorders/>
            <w:tcMar>
              <w:top w:w="0" w:type="dxa"/>
              <w:left w:w="0" w:type="dxa"/>
              <w:bottom w:w="0" w:type="dxa"/>
              <w:right w:w="0" w:type="dxa"/>
            </w:tcMar>
            <w:vAlign w:val="center"/>
          </w:tcPr>
          <w:p>
            <w:pPr>
              <w:pStyle w:val="TableContents"/>
              <w:bidi w:val="0"/>
              <w:jc w:val="both"/>
              <w:rPr/>
            </w:pPr>
            <w:r>
              <w:rPr/>
              <w:t> </w:t>
            </w:r>
          </w:p>
          <w:p>
            <w:pPr>
              <w:pStyle w:val="TableContents"/>
              <w:bidi w:val="0"/>
              <w:jc w:val="both"/>
              <w:rPr>
                <w:rFonts w:ascii="Times New Roman" w:hAnsi="Times New Roman"/>
                <w:color w:val="000000"/>
                <w:sz w:val="22"/>
              </w:rPr>
            </w:pPr>
            <w:r>
              <w:rPr>
                <w:rFonts w:ascii="Times New Roman" w:hAnsi="Times New Roman"/>
                <w:color w:val="000000"/>
                <w:sz w:val="22"/>
              </w:rPr>
              <w:t>Title: President and Chief Executive Officer</w:t>
            </w:r>
          </w:p>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486" w:type="dxa"/>
            <w:tcBorders/>
            <w:tcMar>
              <w:top w:w="0" w:type="dxa"/>
              <w:left w:w="0" w:type="dxa"/>
              <w:bottom w:w="0" w:type="dxa"/>
              <w:right w:w="0" w:type="dxa"/>
            </w:tcMar>
            <w:vAlign w:val="center"/>
          </w:tcPr>
          <w:p>
            <w:pPr>
              <w:pStyle w:val="TableContents"/>
              <w:bidi w:val="0"/>
              <w:jc w:val="both"/>
              <w:rPr/>
            </w:pPr>
            <w:r>
              <w:rPr/>
              <w:t> </w:t>
            </w:r>
          </w:p>
          <w:p>
            <w:pPr>
              <w:pStyle w:val="TableContents"/>
              <w:bidi w:val="0"/>
              <w:jc w:val="both"/>
              <w:rPr>
                <w:rFonts w:ascii="Times New Roman" w:hAnsi="Times New Roman"/>
                <w:color w:val="000000"/>
                <w:sz w:val="22"/>
              </w:rPr>
            </w:pPr>
            <w:r>
              <w:rPr>
                <w:rFonts w:ascii="Times New Roman" w:hAnsi="Times New Roman"/>
                <w:color w:val="000000"/>
                <w:sz w:val="22"/>
              </w:rPr>
              <w:t>Title: Representative Director</w:t>
            </w:r>
          </w:p>
          <w:p>
            <w:pPr>
              <w:pStyle w:val="TableContents"/>
              <w:bidi w:val="0"/>
              <w:spacing w:before="0" w:after="283"/>
              <w:ind w:left="0" w:right="0" w:firstLine="550"/>
              <w:jc w:val="both"/>
              <w:rPr>
                <w:rFonts w:ascii="Times New Roman" w:hAnsi="Times New Roman"/>
                <w:color w:val="000000"/>
                <w:sz w:val="22"/>
              </w:rPr>
            </w:pPr>
            <w:r>
              <w:rPr>
                <w:rFonts w:ascii="Times New Roman" w:hAnsi="Times New Roman"/>
                <w:color w:val="000000"/>
                <w:sz w:val="22"/>
              </w:rPr>
              <w:t>President and Chief Executive Officer</w:t>
            </w:r>
          </w:p>
        </w:tc>
      </w:tr>
      <w:tr>
        <w:trPr/>
        <w:tc>
          <w:tcPr>
            <w:tcW w:w="420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486"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420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486" w:type="dxa"/>
            <w:tcBorders/>
            <w:tcMar>
              <w:top w:w="0" w:type="dxa"/>
              <w:left w:w="0" w:type="dxa"/>
              <w:bottom w:w="0" w:type="dxa"/>
              <w:right w:w="0" w:type="dxa"/>
            </w:tcMar>
            <w:vAlign w:val="center"/>
          </w:tcPr>
          <w:p>
            <w:pPr>
              <w:pStyle w:val="TableContents"/>
              <w:bidi w:val="0"/>
              <w:spacing w:before="0" w:after="283"/>
              <w:jc w:val="both"/>
              <w:rPr/>
            </w:pPr>
            <w:r>
              <w:rPr/>
              <w:t> </w:t>
            </w:r>
          </w:p>
        </w:tc>
      </w:tr>
    </w:tbl>
    <w:p>
      <w:pPr>
        <w:pStyle w:val="TextBody"/>
        <w:bidi w:val="0"/>
        <w:ind w:left="0" w:right="0" w:firstLine="720"/>
        <w:jc w:val="both"/>
        <w:rPr/>
      </w:pPr>
      <w:r>
        <w:rPr/>
        <w:t> </w:t>
      </w:r>
    </w:p>
    <w:p>
      <w:pPr>
        <w:pStyle w:val="TextBody"/>
        <w:bidi w:val="0"/>
        <w:jc w:val="center"/>
        <w:rPr>
          <w:rFonts w:ascii="Times New Roman" w:hAnsi="Times New Roman"/>
          <w:color w:val="000000"/>
          <w:sz w:val="22"/>
        </w:rPr>
      </w:pPr>
      <w:r>
        <w:rPr>
          <w:rFonts w:ascii="Times New Roman" w:hAnsi="Times New Roman"/>
          <w:color w:val="000000"/>
          <w:sz w:val="22"/>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both"/>
        <w:rPr/>
      </w:pPr>
      <w:r>
        <w:rPr/>
        <w:t> </w:t>
      </w:r>
    </w:p>
    <w:p>
      <w:pPr>
        <w:pStyle w:val="TextBody"/>
        <w:bidi w:val="0"/>
        <w:ind w:left="0" w:right="0" w:firstLine="708"/>
        <w:jc w:val="center"/>
        <w:rPr>
          <w:rFonts w:ascii="Times New Roman" w:hAnsi="Times New Roman"/>
          <w:sz w:val="20"/>
        </w:rPr>
      </w:pPr>
      <w:r>
        <w:rPr>
          <w:rFonts w:ascii="Times New Roman" w:hAnsi="Times New Roman"/>
          <w:b/>
          <w:color w:val="000000"/>
          <w:sz w:val="22"/>
        </w:rPr>
        <w:t>Schedule 1</w:t>
      </w:r>
      <w:r>
        <w:rPr>
          <w:rFonts w:ascii="Times New Roman" w:hAnsi="Times New Roman"/>
          <w:color w:val="000000"/>
          <w:sz w:val="20"/>
        </w:rPr>
        <w:t xml:space="preserve"> </w:t>
      </w:r>
      <w:r>
        <w:rPr>
          <w:rFonts w:ascii="Times New Roman" w:hAnsi="Times New Roman"/>
          <w:color w:val="000000"/>
          <w:sz w:val="22"/>
        </w:rPr>
        <w:t xml:space="preserve">- </w:t>
      </w:r>
      <w:r>
        <w:rPr>
          <w:rFonts w:ascii="Times New Roman" w:hAnsi="Times New Roman"/>
          <w:b/>
          <w:color w:val="000000"/>
          <w:sz w:val="22"/>
          <w:u w:val="single"/>
        </w:rPr>
        <w:t>Handover Documents</w:t>
      </w:r>
    </w:p>
    <w:tbl>
      <w:tblPr>
        <w:tblW w:w="10205" w:type="dxa"/>
        <w:jc w:val="left"/>
        <w:tblInd w:w="0" w:type="dxa"/>
        <w:tblLayout w:type="fixed"/>
        <w:tblCellMar>
          <w:top w:w="28" w:type="dxa"/>
          <w:left w:w="28" w:type="dxa"/>
          <w:bottom w:w="28" w:type="dxa"/>
          <w:right w:w="28" w:type="dxa"/>
        </w:tblCellMar>
      </w:tblPr>
      <w:tblGrid>
        <w:gridCol w:w="1471"/>
        <w:gridCol w:w="6232"/>
        <w:gridCol w:w="1081"/>
        <w:gridCol w:w="1421"/>
      </w:tblGrid>
      <w:tr>
        <w:trPr/>
        <w:tc>
          <w:tcPr>
            <w:tcW w:w="1471" w:type="dxa"/>
            <w:tcBorders/>
            <w:shd w:fill="FFFFFF" w:val="clear"/>
            <w:vAlign w:val="center"/>
          </w:tcPr>
          <w:p>
            <w:pPr>
              <w:pStyle w:val="TableContents"/>
              <w:bidi w:val="0"/>
              <w:spacing w:before="0" w:after="283"/>
              <w:jc w:val="left"/>
              <w:rPr>
                <w:sz w:val="4"/>
                <w:szCs w:val="4"/>
              </w:rPr>
            </w:pPr>
            <w:r>
              <w:rPr>
                <w:sz w:val="4"/>
                <w:szCs w:val="4"/>
              </w:rPr>
            </w:r>
          </w:p>
        </w:tc>
        <w:tc>
          <w:tcPr>
            <w:tcW w:w="6232" w:type="dxa"/>
            <w:tcBorders/>
            <w:shd w:fill="FFFFFF" w:val="clear"/>
            <w:vAlign w:val="center"/>
          </w:tcPr>
          <w:p>
            <w:pPr>
              <w:pStyle w:val="TableContents"/>
              <w:bidi w:val="0"/>
              <w:spacing w:before="0" w:after="283"/>
              <w:jc w:val="left"/>
              <w:rPr>
                <w:sz w:val="4"/>
                <w:szCs w:val="4"/>
              </w:rPr>
            </w:pPr>
            <w:r>
              <w:rPr>
                <w:sz w:val="4"/>
                <w:szCs w:val="4"/>
              </w:rPr>
            </w:r>
          </w:p>
        </w:tc>
        <w:tc>
          <w:tcPr>
            <w:tcW w:w="1081" w:type="dxa"/>
            <w:tcBorders/>
            <w:shd w:fill="FFFFFF" w:val="clear"/>
            <w:vAlign w:val="center"/>
          </w:tcPr>
          <w:p>
            <w:pPr>
              <w:pStyle w:val="TableContents"/>
              <w:bidi w:val="0"/>
              <w:spacing w:before="0" w:after="283"/>
              <w:jc w:val="left"/>
              <w:rPr>
                <w:sz w:val="4"/>
                <w:szCs w:val="4"/>
              </w:rPr>
            </w:pPr>
            <w:r>
              <w:rPr>
                <w:sz w:val="4"/>
                <w:szCs w:val="4"/>
              </w:rPr>
            </w:r>
          </w:p>
        </w:tc>
        <w:tc>
          <w:tcPr>
            <w:tcW w:w="1421" w:type="dxa"/>
            <w:tcBorders/>
            <w:shd w:fill="FFFFFF" w:val="clear"/>
            <w:vAlign w:val="center"/>
          </w:tcPr>
          <w:p>
            <w:pPr>
              <w:pStyle w:val="TableContents"/>
              <w:bidi w:val="0"/>
              <w:spacing w:before="0" w:after="283"/>
              <w:jc w:val="left"/>
              <w:rPr>
                <w:sz w:val="4"/>
                <w:szCs w:val="4"/>
              </w:rPr>
            </w:pPr>
            <w:r>
              <w:rPr>
                <w:sz w:val="4"/>
                <w:szCs w:val="4"/>
              </w:rPr>
            </w:r>
          </w:p>
        </w:tc>
      </w:tr>
      <w:tr>
        <w:trPr/>
        <w:tc>
          <w:tcPr>
            <w:tcW w:w="1471" w:type="dxa"/>
            <w:tcBorders>
              <w:top w:val="single" w:sz="4" w:space="0" w:color="000000"/>
              <w:left w:val="single" w:sz="4" w:space="0" w:color="000000"/>
              <w:bottom w:val="single" w:sz="4" w:space="0" w:color="000000"/>
              <w:right w:val="single" w:sz="4" w:space="0" w:color="000000"/>
            </w:tcBorders>
            <w:shd w:fill="BDD6EE" w:val="clear"/>
            <w:tcMar>
              <w:left w:w="108" w:type="dxa"/>
              <w:right w:w="108"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Category</w:t>
            </w:r>
          </w:p>
        </w:tc>
        <w:tc>
          <w:tcPr>
            <w:tcW w:w="6232" w:type="dxa"/>
            <w:tcBorders>
              <w:top w:val="single" w:sz="4" w:space="0" w:color="000000"/>
              <w:bottom w:val="single" w:sz="4" w:space="0" w:color="000000"/>
              <w:right w:val="single" w:sz="4" w:space="0" w:color="000000"/>
            </w:tcBorders>
            <w:shd w:fill="BDD6EE" w:val="clear"/>
            <w:tcMar>
              <w:left w:w="0" w:type="dxa"/>
              <w:right w:w="108"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Title</w:t>
            </w:r>
          </w:p>
        </w:tc>
        <w:tc>
          <w:tcPr>
            <w:tcW w:w="1081" w:type="dxa"/>
            <w:tcBorders>
              <w:top w:val="single" w:sz="4" w:space="0" w:color="000000"/>
              <w:bottom w:val="single" w:sz="4" w:space="0" w:color="000000"/>
              <w:right w:val="single" w:sz="4" w:space="0" w:color="000000"/>
            </w:tcBorders>
            <w:shd w:fill="BDD6EE" w:val="clear"/>
            <w:tcMar>
              <w:left w:w="0" w:type="dxa"/>
              <w:right w:w="108"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Language</w:t>
            </w:r>
          </w:p>
        </w:tc>
        <w:tc>
          <w:tcPr>
            <w:tcW w:w="1421" w:type="dxa"/>
            <w:tcBorders>
              <w:top w:val="single" w:sz="4" w:space="0" w:color="000000"/>
              <w:bottom w:val="single" w:sz="4" w:space="0" w:color="000000"/>
              <w:right w:val="single" w:sz="4" w:space="0" w:color="000000"/>
            </w:tcBorders>
            <w:shd w:fill="BDD6EE" w:val="clear"/>
            <w:tcMar>
              <w:left w:w="0" w:type="dxa"/>
              <w:right w:w="108"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No.</w:t>
            </w:r>
          </w:p>
        </w:tc>
      </w:tr>
      <w:tr>
        <w:trPr/>
        <w:tc>
          <w:tcPr>
            <w:tcW w:w="14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Pharmacology</w:t>
            </w:r>
          </w:p>
        </w:tc>
        <w:tc>
          <w:tcPr>
            <w:tcW w:w="623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ICS Measurement in Phase I Clinical Study of KRP-R120 (Protocol No. KRPR120-I101)</w:t>
            </w:r>
          </w:p>
        </w:tc>
        <w:tc>
          <w:tcPr>
            <w:tcW w:w="10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JPN</w:t>
            </w:r>
          </w:p>
        </w:tc>
        <w:tc>
          <w:tcPr>
            <w:tcW w:w="14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R21C020</w:t>
              <w:br/>
              <w:t>M20-0116-03</w:t>
            </w:r>
          </w:p>
        </w:tc>
      </w:tr>
      <w:tr>
        <w:trPr/>
        <w:tc>
          <w:tcPr>
            <w:tcW w:w="14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Pharmacology</w:t>
            </w:r>
          </w:p>
        </w:tc>
        <w:tc>
          <w:tcPr>
            <w:tcW w:w="623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Data Analysis for ICS Measurement in Phase I Clinical Study of KRP-R120 (Protocol No. KRPR120-I101)</w:t>
            </w:r>
          </w:p>
        </w:tc>
        <w:tc>
          <w:tcPr>
            <w:tcW w:w="10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JPN</w:t>
            </w:r>
          </w:p>
        </w:tc>
        <w:tc>
          <w:tcPr>
            <w:tcW w:w="14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R21C021</w:t>
              <w:br/>
              <w:t>KP15L2001</w:t>
            </w:r>
          </w:p>
        </w:tc>
      </w:tr>
      <w:tr>
        <w:trPr/>
        <w:tc>
          <w:tcPr>
            <w:tcW w:w="14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Pharmacology</w:t>
            </w:r>
          </w:p>
        </w:tc>
        <w:tc>
          <w:tcPr>
            <w:tcW w:w="623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Preliminary Investigation of ICS in Phase I Clinical Study of KRP-R120</w:t>
            </w:r>
          </w:p>
        </w:tc>
        <w:tc>
          <w:tcPr>
            <w:tcW w:w="10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JPN</w:t>
            </w:r>
          </w:p>
        </w:tc>
        <w:tc>
          <w:tcPr>
            <w:tcW w:w="14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R21C019</w:t>
              <w:br/>
              <w:t>M20-0116-02</w:t>
            </w:r>
          </w:p>
        </w:tc>
      </w:tr>
      <w:tr>
        <w:trPr/>
        <w:tc>
          <w:tcPr>
            <w:tcW w:w="14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DMPK</w:t>
            </w:r>
          </w:p>
        </w:tc>
        <w:tc>
          <w:tcPr>
            <w:tcW w:w="623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A Phase I Study of KRP-R120 (Protocol No. KRPR120-I101) Pharmacokinetic Analysis Report</w:t>
            </w:r>
          </w:p>
        </w:tc>
        <w:tc>
          <w:tcPr>
            <w:tcW w:w="10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ENG</w:t>
            </w:r>
          </w:p>
        </w:tc>
        <w:tc>
          <w:tcPr>
            <w:tcW w:w="14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R21E018</w:t>
              <w:br/>
              <w:t>KP15G2101</w:t>
            </w:r>
          </w:p>
        </w:tc>
      </w:tr>
      <w:tr>
        <w:trPr/>
        <w:tc>
          <w:tcPr>
            <w:tcW w:w="14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DMPK</w:t>
            </w:r>
          </w:p>
        </w:tc>
        <w:tc>
          <w:tcPr>
            <w:tcW w:w="623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Inter-ethnic comparison of pharmacokinetics after single intravenous administrations of KRP-R120</w:t>
            </w:r>
          </w:p>
        </w:tc>
        <w:tc>
          <w:tcPr>
            <w:tcW w:w="10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ENG</w:t>
            </w:r>
          </w:p>
        </w:tc>
        <w:tc>
          <w:tcPr>
            <w:tcW w:w="14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R21E036</w:t>
              <w:br/>
              <w:t>KP15G2102</w:t>
            </w:r>
          </w:p>
        </w:tc>
      </w:tr>
      <w:tr>
        <w:trPr/>
        <w:tc>
          <w:tcPr>
            <w:tcW w:w="14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DMPK</w:t>
            </w:r>
          </w:p>
        </w:tc>
        <w:tc>
          <w:tcPr>
            <w:tcW w:w="623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The Determination of Anti-KRP-R120 Antibodies in Human Serum Samples by ECL Assay- A Phase I Study of KRP-R120 (Protocol No. KRPR120-I101)</w:t>
            </w:r>
          </w:p>
        </w:tc>
        <w:tc>
          <w:tcPr>
            <w:tcW w:w="10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ENG</w:t>
            </w:r>
          </w:p>
        </w:tc>
        <w:tc>
          <w:tcPr>
            <w:tcW w:w="14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R21C015</w:t>
              <w:br/>
              <w:t>3452-2001B</w:t>
            </w:r>
          </w:p>
        </w:tc>
      </w:tr>
      <w:tr>
        <w:trPr/>
        <w:tc>
          <w:tcPr>
            <w:tcW w:w="14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DMPK</w:t>
            </w:r>
          </w:p>
        </w:tc>
        <w:tc>
          <w:tcPr>
            <w:tcW w:w="623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The Determination of KRP-R120 (ATYR1923) in Human Serum Samples by ECL Assay; A Phase I Study of KRP-R120 (Protocol No. KRPR120-I101)</w:t>
            </w:r>
          </w:p>
        </w:tc>
        <w:tc>
          <w:tcPr>
            <w:tcW w:w="10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ENG</w:t>
            </w:r>
          </w:p>
        </w:tc>
        <w:tc>
          <w:tcPr>
            <w:tcW w:w="14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R21C014</w:t>
              <w:br/>
              <w:t>3452-2001A</w:t>
            </w:r>
          </w:p>
        </w:tc>
      </w:tr>
      <w:tr>
        <w:trPr/>
        <w:tc>
          <w:tcPr>
            <w:tcW w:w="14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DMPK</w:t>
            </w:r>
          </w:p>
        </w:tc>
        <w:tc>
          <w:tcPr>
            <w:tcW w:w="623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PK analysis datasets (Phoenix files) for Japan Phase 1 (Available after October)</w:t>
            </w:r>
          </w:p>
        </w:tc>
        <w:tc>
          <w:tcPr>
            <w:tcW w:w="10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NA</w:t>
            </w:r>
          </w:p>
        </w:tc>
        <w:tc>
          <w:tcPr>
            <w:tcW w:w="14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NA</w:t>
            </w:r>
          </w:p>
        </w:tc>
      </w:tr>
      <w:tr>
        <w:trPr/>
        <w:tc>
          <w:tcPr>
            <w:tcW w:w="14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CMC</w:t>
            </w:r>
          </w:p>
        </w:tc>
        <w:tc>
          <w:tcPr>
            <w:tcW w:w="623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Analytical Method Transfer Feasibility Report</w:t>
            </w:r>
          </w:p>
        </w:tc>
        <w:tc>
          <w:tcPr>
            <w:tcW w:w="10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JPN</w:t>
            </w:r>
          </w:p>
        </w:tc>
        <w:tc>
          <w:tcPr>
            <w:tcW w:w="14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NA</w:t>
            </w:r>
          </w:p>
        </w:tc>
      </w:tr>
      <w:tr>
        <w:trPr/>
        <w:tc>
          <w:tcPr>
            <w:tcW w:w="14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JP Ph1</w:t>
            </w:r>
          </w:p>
        </w:tc>
        <w:tc>
          <w:tcPr>
            <w:tcW w:w="623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KRPR120-I101_Clinical Study Report (CSR)</w:t>
            </w:r>
          </w:p>
        </w:tc>
        <w:tc>
          <w:tcPr>
            <w:tcW w:w="10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JPN</w:t>
            </w:r>
          </w:p>
        </w:tc>
        <w:tc>
          <w:tcPr>
            <w:tcW w:w="14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KRPR120-I101</w:t>
            </w:r>
          </w:p>
        </w:tc>
      </w:tr>
      <w:tr>
        <w:trPr/>
        <w:tc>
          <w:tcPr>
            <w:tcW w:w="14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JP Ph1</w:t>
            </w:r>
          </w:p>
        </w:tc>
        <w:tc>
          <w:tcPr>
            <w:tcW w:w="623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Procedure for Maintaining Blinding in ADA and PK Analysis Operations</w:t>
            </w:r>
          </w:p>
        </w:tc>
        <w:tc>
          <w:tcPr>
            <w:tcW w:w="10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JPN</w:t>
            </w:r>
          </w:p>
        </w:tc>
        <w:tc>
          <w:tcPr>
            <w:tcW w:w="14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KRPR120-I101</w:t>
            </w:r>
          </w:p>
        </w:tc>
      </w:tr>
      <w:tr>
        <w:trPr/>
        <w:tc>
          <w:tcPr>
            <w:tcW w:w="14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JP Ph1</w:t>
            </w:r>
          </w:p>
        </w:tc>
        <w:tc>
          <w:tcPr>
            <w:tcW w:w="623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Sample Case Report Form (CRF)</w:t>
            </w:r>
          </w:p>
        </w:tc>
        <w:tc>
          <w:tcPr>
            <w:tcW w:w="10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JPN</w:t>
            </w:r>
          </w:p>
        </w:tc>
        <w:tc>
          <w:tcPr>
            <w:tcW w:w="14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KRPR120-I101</w:t>
            </w:r>
          </w:p>
        </w:tc>
      </w:tr>
      <w:tr>
        <w:trPr/>
        <w:tc>
          <w:tcPr>
            <w:tcW w:w="14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JP Ph1</w:t>
            </w:r>
          </w:p>
        </w:tc>
        <w:tc>
          <w:tcPr>
            <w:tcW w:w="623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Monitoring Plan</w:t>
            </w:r>
          </w:p>
        </w:tc>
        <w:tc>
          <w:tcPr>
            <w:tcW w:w="10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JPN</w:t>
            </w:r>
          </w:p>
        </w:tc>
        <w:tc>
          <w:tcPr>
            <w:tcW w:w="14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KRPR120-I101</w:t>
            </w:r>
          </w:p>
        </w:tc>
      </w:tr>
      <w:tr>
        <w:trPr/>
        <w:tc>
          <w:tcPr>
            <w:tcW w:w="14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JP Ph1</w:t>
            </w:r>
          </w:p>
        </w:tc>
        <w:tc>
          <w:tcPr>
            <w:tcW w:w="623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Statistical Analysis Plan (SAP) for Safety and Immunogenicity</w:t>
            </w:r>
          </w:p>
        </w:tc>
        <w:tc>
          <w:tcPr>
            <w:tcW w:w="10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JPN</w:t>
            </w:r>
          </w:p>
        </w:tc>
        <w:tc>
          <w:tcPr>
            <w:tcW w:w="14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KRPR120-I101</w:t>
            </w:r>
          </w:p>
        </w:tc>
      </w:tr>
      <w:tr>
        <w:trPr/>
        <w:tc>
          <w:tcPr>
            <w:tcW w:w="14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JP Ph1</w:t>
            </w:r>
          </w:p>
        </w:tc>
        <w:tc>
          <w:tcPr>
            <w:tcW w:w="623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Clinical Study Protocol</w:t>
            </w:r>
          </w:p>
        </w:tc>
        <w:tc>
          <w:tcPr>
            <w:tcW w:w="10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JPN</w:t>
            </w:r>
          </w:p>
        </w:tc>
        <w:tc>
          <w:tcPr>
            <w:tcW w:w="14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KRPR120-I101</w:t>
            </w:r>
          </w:p>
        </w:tc>
      </w:tr>
      <w:tr>
        <w:trPr/>
        <w:tc>
          <w:tcPr>
            <w:tcW w:w="14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JP Ph1</w:t>
            </w:r>
          </w:p>
        </w:tc>
        <w:tc>
          <w:tcPr>
            <w:tcW w:w="623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Clinical Study Protocol_Appendix: Study Implementation Structure</w:t>
            </w:r>
          </w:p>
        </w:tc>
        <w:tc>
          <w:tcPr>
            <w:tcW w:w="10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JPN</w:t>
            </w:r>
          </w:p>
        </w:tc>
        <w:tc>
          <w:tcPr>
            <w:tcW w:w="14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KRPR120-I101</w:t>
            </w:r>
          </w:p>
        </w:tc>
      </w:tr>
      <w:tr>
        <w:trPr/>
        <w:tc>
          <w:tcPr>
            <w:tcW w:w="14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JP Ph1</w:t>
            </w:r>
          </w:p>
        </w:tc>
        <w:tc>
          <w:tcPr>
            <w:tcW w:w="623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Procedure for Investigational Product Handling</w:t>
            </w:r>
          </w:p>
        </w:tc>
        <w:tc>
          <w:tcPr>
            <w:tcW w:w="10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JPN</w:t>
            </w:r>
          </w:p>
        </w:tc>
        <w:tc>
          <w:tcPr>
            <w:tcW w:w="14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KRPR120-I101</w:t>
            </w:r>
          </w:p>
        </w:tc>
      </w:tr>
      <w:tr>
        <w:trPr/>
        <w:tc>
          <w:tcPr>
            <w:tcW w:w="14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JP Ph1</w:t>
            </w:r>
          </w:p>
        </w:tc>
        <w:tc>
          <w:tcPr>
            <w:tcW w:w="623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Procedure for Investigational Product Allocation and Unblinding</w:t>
            </w:r>
          </w:p>
        </w:tc>
        <w:tc>
          <w:tcPr>
            <w:tcW w:w="10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JPN</w:t>
            </w:r>
          </w:p>
        </w:tc>
        <w:tc>
          <w:tcPr>
            <w:tcW w:w="14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KRPR120-I101</w:t>
            </w:r>
          </w:p>
        </w:tc>
      </w:tr>
      <w:tr>
        <w:trPr/>
        <w:tc>
          <w:tcPr>
            <w:tcW w:w="14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JP Ph1</w:t>
            </w:r>
          </w:p>
        </w:tc>
        <w:tc>
          <w:tcPr>
            <w:tcW w:w="623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List of Modifications</w:t>
            </w:r>
          </w:p>
        </w:tc>
        <w:tc>
          <w:tcPr>
            <w:tcW w:w="10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JPN</w:t>
            </w:r>
          </w:p>
        </w:tc>
        <w:tc>
          <w:tcPr>
            <w:tcW w:w="14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KRPR120-I101</w:t>
            </w:r>
          </w:p>
        </w:tc>
      </w:tr>
      <w:tr>
        <w:trPr/>
        <w:tc>
          <w:tcPr>
            <w:tcW w:w="14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JP Ph1</w:t>
            </w:r>
          </w:p>
        </w:tc>
        <w:tc>
          <w:tcPr>
            <w:tcW w:w="623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Guidelines for Case Report Form (CRF) Completion, Changes, and Corrections</w:t>
            </w:r>
          </w:p>
        </w:tc>
        <w:tc>
          <w:tcPr>
            <w:tcW w:w="10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JPN</w:t>
            </w:r>
          </w:p>
        </w:tc>
        <w:tc>
          <w:tcPr>
            <w:tcW w:w="14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KRPR120-I101</w:t>
            </w:r>
          </w:p>
        </w:tc>
      </w:tr>
    </w:tbl>
    <w:p>
      <w:pPr>
        <w:pStyle w:val="TextBody"/>
        <w:bidi w:val="0"/>
        <w:jc w:val="center"/>
        <w:rPr>
          <w:rFonts w:ascii="Times New Roman" w:hAnsi="Times New Roman"/>
          <w:color w:val="000000"/>
          <w:sz w:val="22"/>
        </w:rPr>
      </w:pPr>
      <w:r>
        <w:rPr>
          <w:rFonts w:ascii="Times New Roman" w:hAnsi="Times New Roman"/>
          <w:color w:val="000000"/>
          <w:sz w:val="22"/>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6531"/>
        <w:gridCol w:w="1081"/>
        <w:gridCol w:w="1437"/>
      </w:tblGrid>
      <w:tr>
        <w:trPr/>
        <w:tc>
          <w:tcPr>
            <w:tcW w:w="1156" w:type="dxa"/>
            <w:tcBorders/>
            <w:shd w:fill="FFFFFF" w:val="clear"/>
            <w:vAlign w:val="center"/>
          </w:tcPr>
          <w:p>
            <w:pPr>
              <w:pStyle w:val="TableContents"/>
              <w:bidi w:val="0"/>
              <w:spacing w:before="0" w:after="283"/>
              <w:jc w:val="left"/>
              <w:rPr>
                <w:sz w:val="4"/>
                <w:szCs w:val="4"/>
              </w:rPr>
            </w:pPr>
            <w:r>
              <w:rPr>
                <w:sz w:val="4"/>
                <w:szCs w:val="4"/>
              </w:rPr>
            </w:r>
          </w:p>
        </w:tc>
        <w:tc>
          <w:tcPr>
            <w:tcW w:w="6531" w:type="dxa"/>
            <w:tcBorders/>
            <w:shd w:fill="FFFFFF" w:val="clear"/>
            <w:vAlign w:val="center"/>
          </w:tcPr>
          <w:p>
            <w:pPr>
              <w:pStyle w:val="TableContents"/>
              <w:bidi w:val="0"/>
              <w:spacing w:before="0" w:after="283"/>
              <w:jc w:val="left"/>
              <w:rPr>
                <w:sz w:val="4"/>
                <w:szCs w:val="4"/>
              </w:rPr>
            </w:pPr>
            <w:r>
              <w:rPr>
                <w:sz w:val="4"/>
                <w:szCs w:val="4"/>
              </w:rPr>
            </w:r>
          </w:p>
        </w:tc>
        <w:tc>
          <w:tcPr>
            <w:tcW w:w="1081" w:type="dxa"/>
            <w:tcBorders/>
            <w:shd w:fill="FFFFFF" w:val="clear"/>
            <w:vAlign w:val="center"/>
          </w:tcPr>
          <w:p>
            <w:pPr>
              <w:pStyle w:val="TableContents"/>
              <w:bidi w:val="0"/>
              <w:spacing w:before="0" w:after="283"/>
              <w:jc w:val="left"/>
              <w:rPr>
                <w:sz w:val="4"/>
                <w:szCs w:val="4"/>
              </w:rPr>
            </w:pPr>
            <w:r>
              <w:rPr>
                <w:sz w:val="4"/>
                <w:szCs w:val="4"/>
              </w:rPr>
            </w:r>
          </w:p>
        </w:tc>
        <w:tc>
          <w:tcPr>
            <w:tcW w:w="1437" w:type="dxa"/>
            <w:tcBorders/>
            <w:shd w:fill="FFFFFF" w:val="clear"/>
            <w:vAlign w:val="center"/>
          </w:tcPr>
          <w:p>
            <w:pPr>
              <w:pStyle w:val="TableContents"/>
              <w:bidi w:val="0"/>
              <w:spacing w:before="0" w:after="283"/>
              <w:jc w:val="left"/>
              <w:rPr>
                <w:sz w:val="4"/>
                <w:szCs w:val="4"/>
              </w:rPr>
            </w:pPr>
            <w:r>
              <w:rPr>
                <w:sz w:val="4"/>
                <w:szCs w:val="4"/>
              </w:rPr>
            </w:r>
          </w:p>
        </w:tc>
      </w:tr>
      <w:tr>
        <w:trPr/>
        <w:tc>
          <w:tcPr>
            <w:tcW w:w="1156" w:type="dxa"/>
            <w:tcBorders>
              <w:top w:val="single" w:sz="4" w:space="0" w:color="000000"/>
              <w:left w:val="single" w:sz="4" w:space="0" w:color="000000"/>
              <w:bottom w:val="single" w:sz="4" w:space="0" w:color="000000"/>
              <w:right w:val="single" w:sz="4" w:space="0" w:color="000000"/>
            </w:tcBorders>
            <w:shd w:fill="BDD6EE" w:val="clear"/>
            <w:tcMar>
              <w:left w:w="108" w:type="dxa"/>
              <w:right w:w="108"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Category</w:t>
            </w:r>
          </w:p>
        </w:tc>
        <w:tc>
          <w:tcPr>
            <w:tcW w:w="6531" w:type="dxa"/>
            <w:tcBorders>
              <w:top w:val="single" w:sz="4" w:space="0" w:color="000000"/>
              <w:bottom w:val="single" w:sz="4" w:space="0" w:color="000000"/>
              <w:right w:val="single" w:sz="4" w:space="0" w:color="000000"/>
            </w:tcBorders>
            <w:shd w:fill="BDD6EE" w:val="clear"/>
            <w:tcMar>
              <w:left w:w="0" w:type="dxa"/>
              <w:right w:w="108"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Title</w:t>
            </w:r>
          </w:p>
        </w:tc>
        <w:tc>
          <w:tcPr>
            <w:tcW w:w="1081" w:type="dxa"/>
            <w:tcBorders>
              <w:top w:val="single" w:sz="4" w:space="0" w:color="000000"/>
              <w:bottom w:val="single" w:sz="4" w:space="0" w:color="000000"/>
              <w:right w:val="single" w:sz="4" w:space="0" w:color="000000"/>
            </w:tcBorders>
            <w:shd w:fill="BDD6EE" w:val="clear"/>
            <w:tcMar>
              <w:left w:w="0" w:type="dxa"/>
              <w:right w:w="108"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Language</w:t>
            </w:r>
          </w:p>
        </w:tc>
        <w:tc>
          <w:tcPr>
            <w:tcW w:w="1437" w:type="dxa"/>
            <w:tcBorders>
              <w:top w:val="single" w:sz="4" w:space="0" w:color="000000"/>
              <w:bottom w:val="single" w:sz="4" w:space="0" w:color="000000"/>
              <w:right w:val="single" w:sz="4" w:space="0" w:color="000000"/>
            </w:tcBorders>
            <w:shd w:fill="BDD6EE" w:val="clear"/>
            <w:tcMar>
              <w:left w:w="0" w:type="dxa"/>
              <w:right w:w="108"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No.</w:t>
            </w:r>
          </w:p>
        </w:tc>
      </w:tr>
      <w:tr>
        <w:trPr/>
        <w:tc>
          <w:tcPr>
            <w:tcW w:w="11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JP Ph1</w:t>
            </w:r>
          </w:p>
        </w:tc>
        <w:tc>
          <w:tcPr>
            <w:tcW w:w="6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Informed Consent Form (ICF) and Patient Information Sheet</w:t>
            </w:r>
          </w:p>
        </w:tc>
        <w:tc>
          <w:tcPr>
            <w:tcW w:w="10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JPN</w:t>
            </w:r>
          </w:p>
        </w:tc>
        <w:tc>
          <w:tcPr>
            <w:tcW w:w="143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KRPR120-I101</w:t>
            </w:r>
          </w:p>
        </w:tc>
      </w:tr>
      <w:tr>
        <w:trPr/>
        <w:tc>
          <w:tcPr>
            <w:tcW w:w="11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JP Ph1</w:t>
            </w:r>
          </w:p>
        </w:tc>
        <w:tc>
          <w:tcPr>
            <w:tcW w:w="6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Procedure for Unblinded Operations</w:t>
            </w:r>
          </w:p>
        </w:tc>
        <w:tc>
          <w:tcPr>
            <w:tcW w:w="10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JPN</w:t>
            </w:r>
          </w:p>
        </w:tc>
        <w:tc>
          <w:tcPr>
            <w:tcW w:w="143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KRPR120-I101</w:t>
            </w:r>
          </w:p>
        </w:tc>
      </w:tr>
      <w:tr>
        <w:trPr/>
        <w:tc>
          <w:tcPr>
            <w:tcW w:w="11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JP Ph1</w:t>
            </w:r>
          </w:p>
        </w:tc>
        <w:tc>
          <w:tcPr>
            <w:tcW w:w="6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Quality Management Plan (QMP)</w:t>
            </w:r>
          </w:p>
        </w:tc>
        <w:tc>
          <w:tcPr>
            <w:tcW w:w="10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JPN</w:t>
            </w:r>
          </w:p>
        </w:tc>
        <w:tc>
          <w:tcPr>
            <w:tcW w:w="143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KRPR120-I101</w:t>
            </w:r>
          </w:p>
        </w:tc>
      </w:tr>
      <w:tr>
        <w:trPr/>
        <w:tc>
          <w:tcPr>
            <w:tcW w:w="11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JP Ph1</w:t>
            </w:r>
          </w:p>
        </w:tc>
        <w:tc>
          <w:tcPr>
            <w:tcW w:w="6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Procedure for Handling Immunogenicity and Drug Concentration Measurement Samples</w:t>
            </w:r>
          </w:p>
        </w:tc>
        <w:tc>
          <w:tcPr>
            <w:tcW w:w="10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JPN</w:t>
            </w:r>
          </w:p>
        </w:tc>
        <w:tc>
          <w:tcPr>
            <w:tcW w:w="143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KRPR120-I101</w:t>
            </w:r>
          </w:p>
        </w:tc>
      </w:tr>
      <w:tr>
        <w:trPr/>
        <w:tc>
          <w:tcPr>
            <w:tcW w:w="11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JP Ph1</w:t>
            </w:r>
          </w:p>
        </w:tc>
        <w:tc>
          <w:tcPr>
            <w:tcW w:w="6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Immunogenicity Follow-up Plan</w:t>
            </w:r>
          </w:p>
        </w:tc>
        <w:tc>
          <w:tcPr>
            <w:tcW w:w="10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JPN</w:t>
            </w:r>
          </w:p>
        </w:tc>
        <w:tc>
          <w:tcPr>
            <w:tcW w:w="143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KRPR120-I101</w:t>
            </w:r>
          </w:p>
        </w:tc>
      </w:tr>
      <w:tr>
        <w:trPr/>
        <w:tc>
          <w:tcPr>
            <w:tcW w:w="11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JP Ph1</w:t>
            </w:r>
          </w:p>
        </w:tc>
        <w:tc>
          <w:tcPr>
            <w:tcW w:w="6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Procedure for Dose Escalation</w:t>
            </w:r>
          </w:p>
        </w:tc>
        <w:tc>
          <w:tcPr>
            <w:tcW w:w="10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JPN</w:t>
            </w:r>
          </w:p>
        </w:tc>
        <w:tc>
          <w:tcPr>
            <w:tcW w:w="143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KRPR120-I101</w:t>
            </w:r>
          </w:p>
        </w:tc>
      </w:tr>
      <w:tr>
        <w:trPr/>
        <w:tc>
          <w:tcPr>
            <w:tcW w:w="11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JP Ph1</w:t>
            </w:r>
          </w:p>
        </w:tc>
        <w:tc>
          <w:tcPr>
            <w:tcW w:w="6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JP Ph1 CDISC (already provided)</w:t>
            </w:r>
          </w:p>
        </w:tc>
        <w:tc>
          <w:tcPr>
            <w:tcW w:w="10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JPN</w:t>
            </w:r>
          </w:p>
        </w:tc>
        <w:tc>
          <w:tcPr>
            <w:tcW w:w="143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KRPR120-I101</w:t>
            </w:r>
          </w:p>
        </w:tc>
      </w:tr>
      <w:tr>
        <w:trPr/>
        <w:tc>
          <w:tcPr>
            <w:tcW w:w="11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JP Ph1</w:t>
            </w:r>
          </w:p>
        </w:tc>
        <w:tc>
          <w:tcPr>
            <w:tcW w:w="6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JP Ph1 dataset and specification (already provided)</w:t>
            </w:r>
          </w:p>
        </w:tc>
        <w:tc>
          <w:tcPr>
            <w:tcW w:w="10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JPN</w:t>
            </w:r>
          </w:p>
        </w:tc>
        <w:tc>
          <w:tcPr>
            <w:tcW w:w="143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KRPR120-I101</w:t>
            </w:r>
          </w:p>
        </w:tc>
      </w:tr>
      <w:tr>
        <w:trPr/>
        <w:tc>
          <w:tcPr>
            <w:tcW w:w="11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IB</w:t>
            </w:r>
          </w:p>
        </w:tc>
        <w:tc>
          <w:tcPr>
            <w:tcW w:w="6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KRP-R120 Investigator's Brochure (IB) Ver. 1</w:t>
            </w:r>
          </w:p>
        </w:tc>
        <w:tc>
          <w:tcPr>
            <w:tcW w:w="10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JPN</w:t>
            </w:r>
          </w:p>
        </w:tc>
        <w:tc>
          <w:tcPr>
            <w:tcW w:w="143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NA</w:t>
            </w:r>
          </w:p>
        </w:tc>
      </w:tr>
      <w:tr>
        <w:trPr/>
        <w:tc>
          <w:tcPr>
            <w:tcW w:w="11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IB</w:t>
            </w:r>
          </w:p>
        </w:tc>
        <w:tc>
          <w:tcPr>
            <w:tcW w:w="6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KRP-R120 Investigator's Brochure (IB) Ver. 1 Supplement</w:t>
            </w:r>
          </w:p>
        </w:tc>
        <w:tc>
          <w:tcPr>
            <w:tcW w:w="10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JPN</w:t>
            </w:r>
          </w:p>
        </w:tc>
        <w:tc>
          <w:tcPr>
            <w:tcW w:w="143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NA</w:t>
            </w:r>
          </w:p>
        </w:tc>
      </w:tr>
      <w:tr>
        <w:trPr/>
        <w:tc>
          <w:tcPr>
            <w:tcW w:w="11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IB</w:t>
            </w:r>
          </w:p>
        </w:tc>
        <w:tc>
          <w:tcPr>
            <w:tcW w:w="6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KRP-R120 Investigator's Brochure (IB) Ver. 2</w:t>
            </w:r>
          </w:p>
        </w:tc>
        <w:tc>
          <w:tcPr>
            <w:tcW w:w="10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JPN</w:t>
            </w:r>
          </w:p>
        </w:tc>
        <w:tc>
          <w:tcPr>
            <w:tcW w:w="143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NA</w:t>
            </w:r>
          </w:p>
        </w:tc>
      </w:tr>
      <w:tr>
        <w:trPr/>
        <w:tc>
          <w:tcPr>
            <w:tcW w:w="11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IB</w:t>
            </w:r>
          </w:p>
        </w:tc>
        <w:tc>
          <w:tcPr>
            <w:tcW w:w="6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KRP-R120 Investigator's Brochure (IB) Ver. 3</w:t>
            </w:r>
          </w:p>
        </w:tc>
        <w:tc>
          <w:tcPr>
            <w:tcW w:w="10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JPN</w:t>
            </w:r>
          </w:p>
        </w:tc>
        <w:tc>
          <w:tcPr>
            <w:tcW w:w="143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NA</w:t>
            </w:r>
          </w:p>
        </w:tc>
      </w:tr>
      <w:tr>
        <w:trPr/>
        <w:tc>
          <w:tcPr>
            <w:tcW w:w="11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Regulatory</w:t>
            </w:r>
          </w:p>
        </w:tc>
        <w:tc>
          <w:tcPr>
            <w:tcW w:w="6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Pre-Phase 1 Study Consultation (May 2020)</w:t>
            </w:r>
          </w:p>
        </w:tc>
        <w:tc>
          <w:tcPr>
            <w:tcW w:w="10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JPN</w:t>
            </w:r>
          </w:p>
        </w:tc>
        <w:tc>
          <w:tcPr>
            <w:tcW w:w="143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NA</w:t>
            </w:r>
          </w:p>
        </w:tc>
      </w:tr>
      <w:tr>
        <w:trPr/>
        <w:tc>
          <w:tcPr>
            <w:tcW w:w="11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Regulatory</w:t>
            </w:r>
          </w:p>
        </w:tc>
        <w:tc>
          <w:tcPr>
            <w:tcW w:w="6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Inquiry Regarding the 30-Day Review for Phase 1 Study (I101)</w:t>
            </w:r>
          </w:p>
        </w:tc>
        <w:tc>
          <w:tcPr>
            <w:tcW w:w="10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JPN</w:t>
            </w:r>
          </w:p>
        </w:tc>
        <w:tc>
          <w:tcPr>
            <w:tcW w:w="143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NA</w:t>
            </w:r>
          </w:p>
        </w:tc>
      </w:tr>
      <w:tr>
        <w:trPr/>
        <w:tc>
          <w:tcPr>
            <w:tcW w:w="11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Regulatory</w:t>
            </w:r>
          </w:p>
        </w:tc>
        <w:tc>
          <w:tcPr>
            <w:tcW w:w="6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End-of-Phase 2 Study Consultation (Jul 2022)</w:t>
            </w:r>
          </w:p>
        </w:tc>
        <w:tc>
          <w:tcPr>
            <w:tcW w:w="10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JPN</w:t>
            </w:r>
          </w:p>
        </w:tc>
        <w:tc>
          <w:tcPr>
            <w:tcW w:w="143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NA</w:t>
            </w:r>
          </w:p>
        </w:tc>
      </w:tr>
      <w:tr>
        <w:trPr/>
        <w:tc>
          <w:tcPr>
            <w:tcW w:w="11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Regulatory</w:t>
            </w:r>
          </w:p>
        </w:tc>
        <w:tc>
          <w:tcPr>
            <w:tcW w:w="6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Simple Consultation on GMP Inspection (Aug 2025)</w:t>
            </w:r>
          </w:p>
        </w:tc>
        <w:tc>
          <w:tcPr>
            <w:tcW w:w="10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JPN</w:t>
            </w:r>
          </w:p>
        </w:tc>
        <w:tc>
          <w:tcPr>
            <w:tcW w:w="143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NA</w:t>
            </w:r>
          </w:p>
        </w:tc>
      </w:tr>
      <w:tr>
        <w:trPr/>
        <w:tc>
          <w:tcPr>
            <w:tcW w:w="11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Regulatory</w:t>
            </w:r>
          </w:p>
        </w:tc>
        <w:tc>
          <w:tcPr>
            <w:tcW w:w="6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Consultation on Pharmaceutical Procedures (Aug 2025)</w:t>
            </w:r>
          </w:p>
        </w:tc>
        <w:tc>
          <w:tcPr>
            <w:tcW w:w="10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JPN</w:t>
            </w:r>
          </w:p>
        </w:tc>
        <w:tc>
          <w:tcPr>
            <w:tcW w:w="143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NA</w:t>
            </w:r>
          </w:p>
        </w:tc>
      </w:tr>
      <w:tr>
        <w:trPr/>
        <w:tc>
          <w:tcPr>
            <w:tcW w:w="11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Regulatory</w:t>
            </w:r>
          </w:p>
        </w:tc>
        <w:tc>
          <w:tcPr>
            <w:tcW w:w="6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Simple Consultation on GMP Inspection (Sep 2025)</w:t>
            </w:r>
          </w:p>
        </w:tc>
        <w:tc>
          <w:tcPr>
            <w:tcW w:w="10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JPN</w:t>
            </w:r>
          </w:p>
        </w:tc>
        <w:tc>
          <w:tcPr>
            <w:tcW w:w="143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NA</w:t>
            </w:r>
          </w:p>
        </w:tc>
      </w:tr>
      <w:tr>
        <w:trPr/>
        <w:tc>
          <w:tcPr>
            <w:tcW w:w="11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Regulatory</w:t>
            </w:r>
          </w:p>
        </w:tc>
        <w:tc>
          <w:tcPr>
            <w:tcW w:w="6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Consultation on Quality (Oct 2025)</w:t>
            </w:r>
          </w:p>
        </w:tc>
        <w:tc>
          <w:tcPr>
            <w:tcW w:w="10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JPN</w:t>
            </w:r>
          </w:p>
        </w:tc>
        <w:tc>
          <w:tcPr>
            <w:tcW w:w="143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NA</w:t>
            </w:r>
          </w:p>
        </w:tc>
      </w:tr>
      <w:tr>
        <w:trPr/>
        <w:tc>
          <w:tcPr>
            <w:tcW w:w="11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CTN</w:t>
            </w:r>
          </w:p>
        </w:tc>
        <w:tc>
          <w:tcPr>
            <w:tcW w:w="6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Clinical Trial Notification (CTN) for Phase 1</w:t>
            </w:r>
          </w:p>
        </w:tc>
        <w:tc>
          <w:tcPr>
            <w:tcW w:w="10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JPN</w:t>
            </w:r>
          </w:p>
        </w:tc>
        <w:tc>
          <w:tcPr>
            <w:tcW w:w="143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NA</w:t>
            </w:r>
          </w:p>
        </w:tc>
      </w:tr>
      <w:tr>
        <w:trPr/>
        <w:tc>
          <w:tcPr>
            <w:tcW w:w="11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CTN</w:t>
            </w:r>
          </w:p>
        </w:tc>
        <w:tc>
          <w:tcPr>
            <w:tcW w:w="6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Clinical Trial Notification (CTN) for Phase 3 (already provided)</w:t>
            </w:r>
          </w:p>
        </w:tc>
        <w:tc>
          <w:tcPr>
            <w:tcW w:w="10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JPN</w:t>
            </w:r>
          </w:p>
        </w:tc>
        <w:tc>
          <w:tcPr>
            <w:tcW w:w="143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NA</w:t>
            </w:r>
          </w:p>
        </w:tc>
      </w:tr>
      <w:tr>
        <w:trPr/>
        <w:tc>
          <w:tcPr>
            <w:tcW w:w="11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JAN</w:t>
            </w:r>
          </w:p>
        </w:tc>
        <w:tc>
          <w:tcPr>
            <w:tcW w:w="6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JAN (Japanese Accepted Names) submission package and notification (already provided)</w:t>
            </w:r>
          </w:p>
        </w:tc>
        <w:tc>
          <w:tcPr>
            <w:tcW w:w="10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JPN</w:t>
            </w:r>
          </w:p>
        </w:tc>
        <w:tc>
          <w:tcPr>
            <w:tcW w:w="143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NA</w:t>
            </w:r>
          </w:p>
        </w:tc>
      </w:tr>
      <w:tr>
        <w:trPr/>
        <w:tc>
          <w:tcPr>
            <w:tcW w:w="11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ODD</w:t>
            </w:r>
          </w:p>
        </w:tc>
        <w:tc>
          <w:tcPr>
            <w:tcW w:w="6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ODD (Orphan Drug Designation) submission package and designation notification (already provided)</w:t>
            </w:r>
          </w:p>
        </w:tc>
        <w:tc>
          <w:tcPr>
            <w:tcW w:w="10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JPN</w:t>
            </w:r>
          </w:p>
        </w:tc>
        <w:tc>
          <w:tcPr>
            <w:tcW w:w="143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NA</w:t>
            </w:r>
          </w:p>
        </w:tc>
      </w:tr>
    </w:tbl>
    <w:p>
      <w:pPr>
        <w:pStyle w:val="TextBody"/>
        <w:bidi w:val="0"/>
        <w:jc w:val="center"/>
        <w:rPr>
          <w:rFonts w:ascii="Times New Roman" w:hAnsi="Times New Roman"/>
          <w:color w:val="000000"/>
          <w:sz w:val="22"/>
        </w:rPr>
      </w:pPr>
      <w:r>
        <w:rPr>
          <w:rFonts w:ascii="Times New Roman" w:hAnsi="Times New Roman"/>
          <w:color w:val="000000"/>
          <w:sz w:val="22"/>
        </w:rPr>
        <w:t>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both"/>
        <w:rPr/>
      </w:pPr>
      <w:r>
        <w:rPr/>
        <w:t> </w:t>
      </w:r>
    </w:p>
    <w:p>
      <w:pPr>
        <w:pStyle w:val="TextBody"/>
        <w:bidi w:val="0"/>
        <w:ind w:left="0" w:right="0" w:firstLine="708"/>
        <w:jc w:val="center"/>
        <w:rPr>
          <w:rFonts w:ascii="Times New Roman" w:hAnsi="Times New Roman"/>
          <w:sz w:val="20"/>
        </w:rPr>
      </w:pPr>
      <w:r>
        <w:rPr>
          <w:rFonts w:ascii="Times New Roman" w:hAnsi="Times New Roman"/>
          <w:b/>
          <w:color w:val="000000"/>
          <w:sz w:val="22"/>
        </w:rPr>
        <w:t>Schedule 2</w:t>
      </w:r>
      <w:r>
        <w:rPr>
          <w:rFonts w:ascii="Times New Roman" w:hAnsi="Times New Roman"/>
          <w:color w:val="000000"/>
          <w:sz w:val="20"/>
        </w:rPr>
        <w:t xml:space="preserve"> </w:t>
      </w:r>
      <w:r>
        <w:rPr>
          <w:rFonts w:ascii="Times New Roman" w:hAnsi="Times New Roman"/>
          <w:color w:val="000000"/>
          <w:sz w:val="22"/>
        </w:rPr>
        <w:t xml:space="preserve">- </w:t>
      </w:r>
      <w:r>
        <w:rPr>
          <w:rFonts w:ascii="Times New Roman" w:hAnsi="Times New Roman"/>
          <w:b/>
          <w:color w:val="000000"/>
          <w:sz w:val="22"/>
          <w:u w:val="single"/>
        </w:rPr>
        <w:t>Essential Documents</w:t>
      </w:r>
    </w:p>
    <w:p>
      <w:pPr>
        <w:pStyle w:val="TextBody"/>
        <w:bidi w:val="0"/>
        <w:ind w:left="220" w:right="0" w:firstLine="220"/>
        <w:jc w:val="both"/>
        <w:rPr/>
      </w:pPr>
      <w:r>
        <w:rPr/>
        <w:t> </w:t>
      </w:r>
    </w:p>
    <w:tbl>
      <w:tblPr>
        <w:tblW w:w="10205" w:type="dxa"/>
        <w:jc w:val="left"/>
        <w:tblInd w:w="0" w:type="dxa"/>
        <w:tblLayout w:type="fixed"/>
        <w:tblCellMar>
          <w:top w:w="28" w:type="dxa"/>
          <w:left w:w="28" w:type="dxa"/>
          <w:bottom w:w="28" w:type="dxa"/>
          <w:right w:w="28" w:type="dxa"/>
        </w:tblCellMar>
      </w:tblPr>
      <w:tblGrid>
        <w:gridCol w:w="7618"/>
        <w:gridCol w:w="1196"/>
        <w:gridCol w:w="1391"/>
      </w:tblGrid>
      <w:tr>
        <w:trPr/>
        <w:tc>
          <w:tcPr>
            <w:tcW w:w="7618" w:type="dxa"/>
            <w:tcBorders/>
            <w:shd w:fill="FFFFFF" w:val="clear"/>
            <w:vAlign w:val="center"/>
          </w:tcPr>
          <w:p>
            <w:pPr>
              <w:pStyle w:val="TableContents"/>
              <w:bidi w:val="0"/>
              <w:spacing w:before="0" w:after="283"/>
              <w:jc w:val="left"/>
              <w:rPr>
                <w:sz w:val="4"/>
                <w:szCs w:val="4"/>
              </w:rPr>
            </w:pPr>
            <w:r>
              <w:rPr>
                <w:sz w:val="4"/>
                <w:szCs w:val="4"/>
              </w:rPr>
            </w:r>
          </w:p>
        </w:tc>
        <w:tc>
          <w:tcPr>
            <w:tcW w:w="1196" w:type="dxa"/>
            <w:tcBorders/>
            <w:shd w:fill="FFFFFF" w:val="clear"/>
            <w:vAlign w:val="center"/>
          </w:tcPr>
          <w:p>
            <w:pPr>
              <w:pStyle w:val="TableContents"/>
              <w:bidi w:val="0"/>
              <w:spacing w:before="0" w:after="283"/>
              <w:jc w:val="left"/>
              <w:rPr>
                <w:sz w:val="4"/>
                <w:szCs w:val="4"/>
              </w:rPr>
            </w:pPr>
            <w:r>
              <w:rPr>
                <w:sz w:val="4"/>
                <w:szCs w:val="4"/>
              </w:rPr>
            </w:r>
          </w:p>
        </w:tc>
        <w:tc>
          <w:tcPr>
            <w:tcW w:w="1391" w:type="dxa"/>
            <w:tcBorders/>
            <w:shd w:fill="FFFFFF" w:val="clear"/>
            <w:vAlign w:val="center"/>
          </w:tcPr>
          <w:p>
            <w:pPr>
              <w:pStyle w:val="TableContents"/>
              <w:bidi w:val="0"/>
              <w:spacing w:before="0" w:after="283"/>
              <w:ind w:left="0" w:right="0" w:firstLine="220"/>
              <w:jc w:val="left"/>
              <w:rPr>
                <w:sz w:val="4"/>
                <w:szCs w:val="4"/>
              </w:rPr>
            </w:pPr>
            <w:r>
              <w:rPr>
                <w:sz w:val="4"/>
                <w:szCs w:val="4"/>
              </w:rPr>
            </w:r>
          </w:p>
        </w:tc>
      </w:tr>
      <w:tr>
        <w:trPr/>
        <w:tc>
          <w:tcPr>
            <w:tcW w:w="7618" w:type="dxa"/>
            <w:tcBorders>
              <w:top w:val="single" w:sz="4" w:space="0" w:color="000000"/>
              <w:left w:val="single" w:sz="4" w:space="0" w:color="000000"/>
              <w:bottom w:val="single" w:sz="4" w:space="0" w:color="000000"/>
              <w:right w:val="single" w:sz="4" w:space="0" w:color="000000"/>
            </w:tcBorders>
            <w:shd w:fill="BDD6EE" w:val="clear"/>
            <w:tcMar>
              <w:left w:w="108" w:type="dxa"/>
              <w:right w:w="108" w:type="dxa"/>
            </w:tcMar>
            <w:vAlign w:val="center"/>
          </w:tcPr>
          <w:p>
            <w:pPr>
              <w:pStyle w:val="TableContents"/>
              <w:bidi w:val="0"/>
              <w:spacing w:before="0" w:after="283"/>
              <w:ind w:left="0" w:right="0" w:firstLine="220"/>
              <w:jc w:val="both"/>
              <w:rPr>
                <w:rFonts w:ascii="Times New Roman" w:hAnsi="Times New Roman"/>
                <w:b/>
                <w:color w:val="000000"/>
                <w:sz w:val="22"/>
              </w:rPr>
            </w:pPr>
            <w:r>
              <w:rPr>
                <w:rFonts w:ascii="Times New Roman" w:hAnsi="Times New Roman"/>
                <w:b/>
                <w:color w:val="000000"/>
                <w:sz w:val="22"/>
              </w:rPr>
              <w:t>Document</w:t>
            </w:r>
          </w:p>
        </w:tc>
        <w:tc>
          <w:tcPr>
            <w:tcW w:w="1196" w:type="dxa"/>
            <w:tcBorders>
              <w:top w:val="single" w:sz="4" w:space="0" w:color="000000"/>
              <w:bottom w:val="single" w:sz="4" w:space="0" w:color="000000"/>
              <w:right w:val="single" w:sz="4" w:space="0" w:color="000000"/>
            </w:tcBorders>
            <w:shd w:fill="BDD6EE" w:val="clear"/>
            <w:tcMar>
              <w:left w:w="0" w:type="dxa"/>
              <w:right w:w="108" w:type="dxa"/>
            </w:tcMar>
            <w:vAlign w:val="center"/>
          </w:tcPr>
          <w:p>
            <w:pPr>
              <w:pStyle w:val="TableContents"/>
              <w:bidi w:val="0"/>
              <w:spacing w:before="0" w:after="283"/>
              <w:ind w:left="0" w:right="0" w:firstLine="220"/>
              <w:jc w:val="both"/>
              <w:rPr>
                <w:rFonts w:ascii="Times New Roman" w:hAnsi="Times New Roman"/>
                <w:b/>
                <w:color w:val="000000"/>
                <w:sz w:val="22"/>
              </w:rPr>
            </w:pPr>
            <w:r>
              <w:rPr>
                <w:rFonts w:ascii="Times New Roman" w:hAnsi="Times New Roman"/>
                <w:b/>
                <w:color w:val="000000"/>
                <w:sz w:val="22"/>
              </w:rPr>
              <w:t>JPN-Ph1</w:t>
              <w:br/>
              <w:t>(I101)</w:t>
            </w:r>
          </w:p>
        </w:tc>
        <w:tc>
          <w:tcPr>
            <w:tcW w:w="1391" w:type="dxa"/>
            <w:tcBorders>
              <w:top w:val="single" w:sz="4" w:space="0" w:color="000000"/>
              <w:bottom w:val="single" w:sz="4" w:space="0" w:color="000000"/>
              <w:right w:val="single" w:sz="4" w:space="0" w:color="000000"/>
            </w:tcBorders>
            <w:shd w:fill="BDD6EE" w:val="clear"/>
            <w:tcMar>
              <w:left w:w="0" w:type="dxa"/>
              <w:right w:w="108" w:type="dxa"/>
            </w:tcMar>
            <w:vAlign w:val="center"/>
          </w:tcPr>
          <w:p>
            <w:pPr>
              <w:pStyle w:val="TableContents"/>
              <w:bidi w:val="0"/>
              <w:spacing w:before="0" w:after="283"/>
              <w:ind w:left="0" w:right="0" w:firstLine="220"/>
              <w:jc w:val="both"/>
              <w:rPr>
                <w:rFonts w:ascii="Times New Roman" w:hAnsi="Times New Roman"/>
                <w:b/>
                <w:color w:val="000000"/>
                <w:sz w:val="22"/>
              </w:rPr>
            </w:pPr>
            <w:r>
              <w:rPr>
                <w:rFonts w:ascii="Times New Roman" w:hAnsi="Times New Roman"/>
                <w:b/>
                <w:color w:val="000000"/>
                <w:sz w:val="22"/>
              </w:rPr>
              <w:t>Ph3 MRCT*</w:t>
              <w:br/>
              <w:t>(C004)</w:t>
            </w:r>
          </w:p>
        </w:tc>
      </w:tr>
      <w:tr>
        <w:trPr/>
        <w:tc>
          <w:tcPr>
            <w:tcW w:w="7618"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ind w:left="0" w:right="0" w:firstLine="220"/>
              <w:jc w:val="both"/>
              <w:rPr>
                <w:rFonts w:ascii="Times New Roman" w:hAnsi="Times New Roman"/>
                <w:b/>
                <w:color w:val="000000"/>
                <w:sz w:val="22"/>
              </w:rPr>
            </w:pPr>
            <w:r>
              <w:rPr>
                <w:rFonts w:ascii="Times New Roman" w:hAnsi="Times New Roman"/>
                <w:b/>
                <w:color w:val="000000"/>
                <w:sz w:val="22"/>
              </w:rPr>
              <w:t>Before the Clinical Phase of the Trial Commences</w:t>
            </w:r>
          </w:p>
        </w:tc>
        <w:tc>
          <w:tcPr>
            <w:tcW w:w="119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220"/>
              <w:jc w:val="left"/>
              <w:rPr>
                <w:sz w:val="4"/>
                <w:szCs w:val="4"/>
              </w:rPr>
            </w:pPr>
            <w:r>
              <w:rPr>
                <w:sz w:val="4"/>
                <w:szCs w:val="4"/>
              </w:rPr>
            </w:r>
          </w:p>
        </w:tc>
        <w:tc>
          <w:tcPr>
            <w:tcW w:w="139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220"/>
              <w:jc w:val="left"/>
              <w:rPr>
                <w:sz w:val="4"/>
                <w:szCs w:val="4"/>
              </w:rPr>
            </w:pPr>
            <w:r>
              <w:rPr>
                <w:sz w:val="4"/>
                <w:szCs w:val="4"/>
              </w:rPr>
            </w:r>
          </w:p>
        </w:tc>
      </w:tr>
      <w:tr>
        <w:trPr/>
        <w:tc>
          <w:tcPr>
            <w:tcW w:w="7618"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ind w:left="0" w:right="0" w:firstLine="220"/>
              <w:jc w:val="both"/>
              <w:rPr>
                <w:rFonts w:ascii="Times New Roman" w:hAnsi="Times New Roman"/>
                <w:color w:val="000000"/>
                <w:sz w:val="22"/>
              </w:rPr>
            </w:pPr>
            <w:r>
              <w:rPr>
                <w:rFonts w:ascii="Times New Roman" w:hAnsi="Times New Roman"/>
                <w:color w:val="000000"/>
                <w:sz w:val="22"/>
              </w:rPr>
              <w:t>Investigator’s Brochure</w:t>
            </w:r>
          </w:p>
        </w:tc>
        <w:tc>
          <w:tcPr>
            <w:tcW w:w="119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220"/>
              <w:jc w:val="both"/>
              <w:rPr>
                <w:rFonts w:ascii="Times New Roman" w:hAnsi="Times New Roman"/>
                <w:color w:val="000000"/>
                <w:sz w:val="22"/>
              </w:rPr>
            </w:pPr>
            <w:r>
              <w:rPr>
                <w:rFonts w:ascii="Times New Roman" w:hAnsi="Times New Roman"/>
                <w:color w:val="000000"/>
                <w:sz w:val="22"/>
              </w:rPr>
              <w:t>X</w:t>
            </w:r>
          </w:p>
        </w:tc>
        <w:tc>
          <w:tcPr>
            <w:tcW w:w="139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220"/>
              <w:jc w:val="both"/>
              <w:rPr/>
            </w:pPr>
            <w:r>
              <w:rPr/>
              <w:t> </w:t>
            </w:r>
          </w:p>
        </w:tc>
      </w:tr>
      <w:tr>
        <w:trPr/>
        <w:tc>
          <w:tcPr>
            <w:tcW w:w="7618"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ind w:left="0" w:right="0" w:firstLine="220"/>
              <w:jc w:val="both"/>
              <w:rPr>
                <w:rFonts w:ascii="Times New Roman" w:hAnsi="Times New Roman"/>
                <w:color w:val="000000"/>
                <w:sz w:val="22"/>
              </w:rPr>
            </w:pPr>
            <w:r>
              <w:rPr>
                <w:rFonts w:ascii="Times New Roman" w:hAnsi="Times New Roman"/>
                <w:color w:val="000000"/>
                <w:sz w:val="22"/>
              </w:rPr>
              <w:t>Signed Protocol and Amendments, If Any, and Sample Case Report Form (CRF)</w:t>
            </w:r>
          </w:p>
        </w:tc>
        <w:tc>
          <w:tcPr>
            <w:tcW w:w="119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220"/>
              <w:jc w:val="both"/>
              <w:rPr>
                <w:rFonts w:ascii="Times New Roman" w:hAnsi="Times New Roman"/>
                <w:color w:val="000000"/>
                <w:sz w:val="22"/>
              </w:rPr>
            </w:pPr>
            <w:r>
              <w:rPr>
                <w:rFonts w:ascii="Times New Roman" w:hAnsi="Times New Roman"/>
                <w:color w:val="000000"/>
                <w:sz w:val="22"/>
              </w:rPr>
              <w:t>X</w:t>
            </w:r>
          </w:p>
        </w:tc>
        <w:tc>
          <w:tcPr>
            <w:tcW w:w="139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220"/>
              <w:jc w:val="both"/>
              <w:rPr/>
            </w:pPr>
            <w:r>
              <w:rPr/>
              <w:t> </w:t>
            </w:r>
          </w:p>
        </w:tc>
      </w:tr>
      <w:tr>
        <w:trPr/>
        <w:tc>
          <w:tcPr>
            <w:tcW w:w="7618"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ind w:left="220" w:right="0" w:firstLine="220"/>
              <w:jc w:val="both"/>
              <w:rPr>
                <w:rFonts w:ascii="Times New Roman" w:hAnsi="Times New Roman"/>
                <w:color w:val="000000"/>
                <w:sz w:val="22"/>
              </w:rPr>
            </w:pPr>
            <w:r>
              <w:rPr>
                <w:rFonts w:ascii="Times New Roman" w:hAnsi="Times New Roman"/>
                <w:color w:val="000000"/>
                <w:sz w:val="22"/>
              </w:rPr>
              <w:t>Information Given to Trial Subject</w:t>
            </w:r>
          </w:p>
          <w:p>
            <w:pPr>
              <w:pStyle w:val="TableContents"/>
              <w:bidi w:val="0"/>
              <w:ind w:left="220" w:right="0" w:firstLine="220"/>
              <w:jc w:val="both"/>
              <w:rPr>
                <w:rFonts w:ascii="Times New Roman" w:hAnsi="Times New Roman"/>
                <w:color w:val="000000"/>
                <w:sz w:val="22"/>
              </w:rPr>
            </w:pPr>
            <w:r>
              <w:rPr>
                <w:rFonts w:ascii="Times New Roman" w:hAnsi="Times New Roman"/>
                <w:color w:val="000000"/>
                <w:sz w:val="22"/>
              </w:rPr>
              <w:t>- Informed consent form (including all applicable translations)</w:t>
            </w:r>
          </w:p>
          <w:p>
            <w:pPr>
              <w:pStyle w:val="TableContents"/>
              <w:bidi w:val="0"/>
              <w:ind w:left="220" w:right="0" w:firstLine="220"/>
              <w:jc w:val="both"/>
              <w:rPr>
                <w:rFonts w:ascii="Times New Roman" w:hAnsi="Times New Roman"/>
                <w:color w:val="000000"/>
                <w:sz w:val="22"/>
              </w:rPr>
            </w:pPr>
            <w:r>
              <w:rPr>
                <w:rFonts w:ascii="Times New Roman" w:hAnsi="Times New Roman"/>
                <w:color w:val="000000"/>
                <w:sz w:val="22"/>
              </w:rPr>
              <w:t>- Any other written Information</w:t>
            </w:r>
          </w:p>
          <w:p>
            <w:pPr>
              <w:pStyle w:val="TableContents"/>
              <w:bidi w:val="0"/>
              <w:spacing w:before="0" w:after="283"/>
              <w:ind w:left="0" w:right="0" w:firstLine="220"/>
              <w:jc w:val="both"/>
              <w:rPr>
                <w:rFonts w:ascii="Times New Roman" w:hAnsi="Times New Roman"/>
                <w:color w:val="000000"/>
                <w:sz w:val="22"/>
              </w:rPr>
            </w:pPr>
            <w:r>
              <w:rPr>
                <w:rFonts w:ascii="Times New Roman" w:hAnsi="Times New Roman"/>
                <w:color w:val="000000"/>
                <w:sz w:val="22"/>
              </w:rPr>
              <w:t>- Advertisement for subject recruitment (if used)</w:t>
            </w:r>
          </w:p>
        </w:tc>
        <w:tc>
          <w:tcPr>
            <w:tcW w:w="119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220"/>
              <w:jc w:val="both"/>
              <w:rPr>
                <w:rFonts w:ascii="Times New Roman" w:hAnsi="Times New Roman"/>
                <w:color w:val="000000"/>
                <w:sz w:val="22"/>
              </w:rPr>
            </w:pPr>
            <w:r>
              <w:rPr>
                <w:rFonts w:ascii="Times New Roman" w:hAnsi="Times New Roman"/>
                <w:color w:val="000000"/>
                <w:sz w:val="22"/>
              </w:rPr>
              <w:t>X</w:t>
            </w:r>
          </w:p>
        </w:tc>
        <w:tc>
          <w:tcPr>
            <w:tcW w:w="139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220"/>
              <w:jc w:val="both"/>
              <w:rPr/>
            </w:pPr>
            <w:r>
              <w:rPr/>
              <w:t> </w:t>
            </w:r>
          </w:p>
        </w:tc>
      </w:tr>
      <w:tr>
        <w:trPr/>
        <w:tc>
          <w:tcPr>
            <w:tcW w:w="7618"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ind w:left="0" w:right="0" w:firstLine="220"/>
              <w:jc w:val="both"/>
              <w:rPr>
                <w:rFonts w:ascii="Times New Roman" w:hAnsi="Times New Roman"/>
                <w:color w:val="000000"/>
                <w:sz w:val="22"/>
              </w:rPr>
            </w:pPr>
            <w:r>
              <w:rPr>
                <w:rFonts w:ascii="Times New Roman" w:hAnsi="Times New Roman"/>
                <w:color w:val="000000"/>
                <w:sz w:val="22"/>
              </w:rPr>
              <w:t>Financial Aspects of the Trial</w:t>
            </w:r>
          </w:p>
        </w:tc>
        <w:tc>
          <w:tcPr>
            <w:tcW w:w="119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220"/>
              <w:jc w:val="both"/>
              <w:rPr>
                <w:rFonts w:ascii="Times New Roman" w:hAnsi="Times New Roman"/>
                <w:color w:val="000000"/>
                <w:sz w:val="22"/>
              </w:rPr>
            </w:pPr>
            <w:r>
              <w:rPr>
                <w:rFonts w:ascii="Times New Roman" w:hAnsi="Times New Roman"/>
                <w:color w:val="000000"/>
                <w:sz w:val="22"/>
              </w:rPr>
              <w:t>X</w:t>
            </w:r>
          </w:p>
        </w:tc>
        <w:tc>
          <w:tcPr>
            <w:tcW w:w="139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220"/>
              <w:jc w:val="both"/>
              <w:rPr/>
            </w:pPr>
            <w:r>
              <w:rPr/>
              <w:t> </w:t>
            </w:r>
          </w:p>
        </w:tc>
      </w:tr>
      <w:tr>
        <w:trPr/>
        <w:tc>
          <w:tcPr>
            <w:tcW w:w="7618"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ind w:left="0" w:right="0" w:firstLine="220"/>
              <w:jc w:val="both"/>
              <w:rPr>
                <w:rFonts w:ascii="Times New Roman" w:hAnsi="Times New Roman"/>
                <w:color w:val="000000"/>
                <w:sz w:val="22"/>
              </w:rPr>
            </w:pPr>
            <w:r>
              <w:rPr>
                <w:rFonts w:ascii="Times New Roman" w:hAnsi="Times New Roman"/>
                <w:color w:val="000000"/>
                <w:sz w:val="22"/>
              </w:rPr>
              <w:t>Insurance Statement (where required)</w:t>
            </w:r>
          </w:p>
        </w:tc>
        <w:tc>
          <w:tcPr>
            <w:tcW w:w="119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220"/>
              <w:jc w:val="both"/>
              <w:rPr>
                <w:rFonts w:ascii="Times New Roman" w:hAnsi="Times New Roman"/>
                <w:color w:val="000000"/>
                <w:sz w:val="22"/>
              </w:rPr>
            </w:pPr>
            <w:r>
              <w:rPr>
                <w:rFonts w:ascii="Times New Roman" w:hAnsi="Times New Roman"/>
                <w:color w:val="000000"/>
                <w:sz w:val="22"/>
              </w:rPr>
              <w:t>X</w:t>
            </w:r>
          </w:p>
        </w:tc>
        <w:tc>
          <w:tcPr>
            <w:tcW w:w="139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220"/>
              <w:jc w:val="both"/>
              <w:rPr/>
            </w:pPr>
            <w:r>
              <w:rPr/>
              <w:t> </w:t>
            </w:r>
          </w:p>
        </w:tc>
      </w:tr>
      <w:tr>
        <w:trPr/>
        <w:tc>
          <w:tcPr>
            <w:tcW w:w="7618"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ind w:left="220" w:right="0" w:firstLine="220"/>
              <w:jc w:val="both"/>
              <w:rPr>
                <w:rFonts w:ascii="Times New Roman" w:hAnsi="Times New Roman"/>
                <w:color w:val="000000"/>
                <w:sz w:val="22"/>
              </w:rPr>
            </w:pPr>
            <w:r>
              <w:rPr>
                <w:rFonts w:ascii="Times New Roman" w:hAnsi="Times New Roman"/>
                <w:color w:val="000000"/>
                <w:sz w:val="22"/>
              </w:rPr>
              <w:t>Signed Agreement Between Involved Parties, e.g.:</w:t>
            </w:r>
          </w:p>
          <w:p>
            <w:pPr>
              <w:pStyle w:val="TableContents"/>
              <w:bidi w:val="0"/>
              <w:ind w:left="220" w:right="0" w:firstLine="220"/>
              <w:jc w:val="both"/>
              <w:rPr>
                <w:rFonts w:ascii="Times New Roman" w:hAnsi="Times New Roman"/>
                <w:color w:val="000000"/>
                <w:sz w:val="22"/>
              </w:rPr>
            </w:pPr>
            <w:r>
              <w:rPr>
                <w:rFonts w:ascii="Times New Roman" w:hAnsi="Times New Roman"/>
                <w:color w:val="000000"/>
                <w:sz w:val="22"/>
              </w:rPr>
              <w:t>- Investigator/institution and sponsor</w:t>
            </w:r>
          </w:p>
          <w:p>
            <w:pPr>
              <w:pStyle w:val="TableContents"/>
              <w:bidi w:val="0"/>
              <w:ind w:left="220" w:right="0" w:firstLine="220"/>
              <w:jc w:val="both"/>
              <w:rPr>
                <w:rFonts w:ascii="Times New Roman" w:hAnsi="Times New Roman"/>
                <w:color w:val="000000"/>
                <w:sz w:val="22"/>
              </w:rPr>
            </w:pPr>
            <w:r>
              <w:rPr>
                <w:rFonts w:ascii="Times New Roman" w:hAnsi="Times New Roman"/>
                <w:color w:val="000000"/>
                <w:sz w:val="22"/>
              </w:rPr>
              <w:t>- Investigator/institution and CRO</w:t>
            </w:r>
          </w:p>
          <w:p>
            <w:pPr>
              <w:pStyle w:val="TableContents"/>
              <w:bidi w:val="0"/>
              <w:ind w:left="220" w:right="0" w:firstLine="220"/>
              <w:jc w:val="both"/>
              <w:rPr>
                <w:rFonts w:ascii="Times New Roman" w:hAnsi="Times New Roman"/>
                <w:color w:val="000000"/>
                <w:sz w:val="22"/>
              </w:rPr>
            </w:pPr>
            <w:r>
              <w:rPr>
                <w:rFonts w:ascii="Times New Roman" w:hAnsi="Times New Roman"/>
                <w:color w:val="000000"/>
                <w:sz w:val="22"/>
              </w:rPr>
              <w:t>- Sponsor and CRO</w:t>
            </w:r>
          </w:p>
          <w:p>
            <w:pPr>
              <w:pStyle w:val="TableContents"/>
              <w:bidi w:val="0"/>
              <w:spacing w:before="0" w:after="283"/>
              <w:ind w:left="0" w:right="0" w:firstLine="220"/>
              <w:jc w:val="both"/>
              <w:rPr>
                <w:rFonts w:ascii="Times New Roman" w:hAnsi="Times New Roman"/>
                <w:color w:val="000000"/>
                <w:sz w:val="22"/>
              </w:rPr>
            </w:pPr>
            <w:r>
              <w:rPr>
                <w:rFonts w:ascii="Times New Roman" w:hAnsi="Times New Roman"/>
                <w:color w:val="000000"/>
                <w:sz w:val="22"/>
              </w:rPr>
              <w:t>- Investigator/institution and authority(ies) (where required)</w:t>
            </w:r>
          </w:p>
        </w:tc>
        <w:tc>
          <w:tcPr>
            <w:tcW w:w="119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220"/>
              <w:jc w:val="both"/>
              <w:rPr>
                <w:rFonts w:ascii="Times New Roman" w:hAnsi="Times New Roman"/>
                <w:color w:val="000000"/>
                <w:sz w:val="22"/>
              </w:rPr>
            </w:pPr>
            <w:r>
              <w:rPr>
                <w:rFonts w:ascii="Times New Roman" w:hAnsi="Times New Roman"/>
                <w:color w:val="000000"/>
                <w:sz w:val="22"/>
              </w:rPr>
              <w:t>X</w:t>
            </w:r>
          </w:p>
        </w:tc>
        <w:tc>
          <w:tcPr>
            <w:tcW w:w="139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220"/>
              <w:jc w:val="both"/>
              <w:rPr>
                <w:rFonts w:ascii="Times New Roman" w:hAnsi="Times New Roman"/>
                <w:color w:val="000000"/>
                <w:sz w:val="22"/>
              </w:rPr>
            </w:pPr>
            <w:r>
              <w:rPr>
                <w:rFonts w:ascii="Times New Roman" w:hAnsi="Times New Roman"/>
                <w:color w:val="000000"/>
                <w:sz w:val="22"/>
              </w:rPr>
              <w:t>X</w:t>
            </w:r>
          </w:p>
        </w:tc>
      </w:tr>
      <w:tr>
        <w:trPr/>
        <w:tc>
          <w:tcPr>
            <w:tcW w:w="7618"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ind w:left="220" w:right="0" w:firstLine="220"/>
              <w:jc w:val="both"/>
              <w:rPr>
                <w:rFonts w:ascii="Times New Roman" w:hAnsi="Times New Roman"/>
                <w:color w:val="000000"/>
                <w:sz w:val="22"/>
              </w:rPr>
            </w:pPr>
            <w:r>
              <w:rPr>
                <w:rFonts w:ascii="Times New Roman" w:hAnsi="Times New Roman"/>
                <w:color w:val="000000"/>
                <w:sz w:val="22"/>
              </w:rPr>
              <w:t>Dated, Documented Approval/Favourable Opinion of Institutional Review Board (IRB) /Independent Ethics Committee (IEC) of the Following:</w:t>
            </w:r>
          </w:p>
          <w:p>
            <w:pPr>
              <w:pStyle w:val="TableContents"/>
              <w:bidi w:val="0"/>
              <w:ind w:left="220" w:right="0" w:firstLine="220"/>
              <w:jc w:val="both"/>
              <w:rPr>
                <w:rFonts w:ascii="Times New Roman" w:hAnsi="Times New Roman"/>
                <w:color w:val="000000"/>
                <w:sz w:val="22"/>
              </w:rPr>
            </w:pPr>
            <w:r>
              <w:rPr>
                <w:rFonts w:ascii="Times New Roman" w:hAnsi="Times New Roman"/>
                <w:color w:val="000000"/>
                <w:sz w:val="22"/>
              </w:rPr>
              <w:t>- Protocol and any amendments</w:t>
            </w:r>
          </w:p>
          <w:p>
            <w:pPr>
              <w:pStyle w:val="TableContents"/>
              <w:bidi w:val="0"/>
              <w:ind w:left="220" w:right="0" w:firstLine="220"/>
              <w:jc w:val="both"/>
              <w:rPr>
                <w:rFonts w:ascii="Times New Roman" w:hAnsi="Times New Roman"/>
                <w:color w:val="000000"/>
                <w:sz w:val="22"/>
              </w:rPr>
            </w:pPr>
            <w:r>
              <w:rPr>
                <w:rFonts w:ascii="Times New Roman" w:hAnsi="Times New Roman"/>
                <w:color w:val="000000"/>
                <w:sz w:val="22"/>
              </w:rPr>
              <w:t>- CRF (if applicable)</w:t>
            </w:r>
          </w:p>
          <w:p>
            <w:pPr>
              <w:pStyle w:val="TableContents"/>
              <w:bidi w:val="0"/>
              <w:ind w:left="220" w:right="0" w:firstLine="220"/>
              <w:jc w:val="both"/>
              <w:rPr>
                <w:rFonts w:ascii="Times New Roman" w:hAnsi="Times New Roman"/>
                <w:color w:val="000000"/>
                <w:sz w:val="22"/>
              </w:rPr>
            </w:pPr>
            <w:r>
              <w:rPr>
                <w:rFonts w:ascii="Times New Roman" w:hAnsi="Times New Roman"/>
                <w:color w:val="000000"/>
                <w:sz w:val="22"/>
              </w:rPr>
              <w:t>- Informed consent form(s)</w:t>
            </w:r>
          </w:p>
          <w:p>
            <w:pPr>
              <w:pStyle w:val="TableContents"/>
              <w:bidi w:val="0"/>
              <w:ind w:left="220" w:right="0" w:firstLine="220"/>
              <w:jc w:val="both"/>
              <w:rPr>
                <w:rFonts w:ascii="Times New Roman" w:hAnsi="Times New Roman"/>
                <w:color w:val="000000"/>
                <w:sz w:val="22"/>
              </w:rPr>
            </w:pPr>
            <w:r>
              <w:rPr>
                <w:rFonts w:ascii="Times New Roman" w:hAnsi="Times New Roman"/>
                <w:color w:val="000000"/>
                <w:sz w:val="22"/>
              </w:rPr>
              <w:t>- Any other written information to be provided to the subject(s)</w:t>
            </w:r>
          </w:p>
          <w:p>
            <w:pPr>
              <w:pStyle w:val="TableContents"/>
              <w:bidi w:val="0"/>
              <w:ind w:left="220" w:right="0" w:firstLine="220"/>
              <w:jc w:val="both"/>
              <w:rPr>
                <w:rFonts w:ascii="Times New Roman" w:hAnsi="Times New Roman"/>
                <w:color w:val="000000"/>
                <w:sz w:val="22"/>
              </w:rPr>
            </w:pPr>
            <w:r>
              <w:rPr>
                <w:rFonts w:ascii="Times New Roman" w:hAnsi="Times New Roman"/>
                <w:color w:val="000000"/>
                <w:sz w:val="22"/>
              </w:rPr>
              <w:t>- Advertisement for subject recruitment (if used)</w:t>
            </w:r>
          </w:p>
          <w:p>
            <w:pPr>
              <w:pStyle w:val="TableContents"/>
              <w:bidi w:val="0"/>
              <w:ind w:left="220" w:right="0" w:firstLine="220"/>
              <w:jc w:val="both"/>
              <w:rPr>
                <w:rFonts w:ascii="Times New Roman" w:hAnsi="Times New Roman"/>
                <w:color w:val="000000"/>
                <w:sz w:val="22"/>
              </w:rPr>
            </w:pPr>
            <w:r>
              <w:rPr>
                <w:rFonts w:ascii="Times New Roman" w:hAnsi="Times New Roman"/>
                <w:color w:val="000000"/>
                <w:sz w:val="22"/>
              </w:rPr>
              <w:t>- Subject compensation (if any)</w:t>
            </w:r>
          </w:p>
          <w:p>
            <w:pPr>
              <w:pStyle w:val="TableContents"/>
              <w:bidi w:val="0"/>
              <w:spacing w:before="0" w:after="283"/>
              <w:ind w:left="0" w:right="0" w:firstLine="220"/>
              <w:jc w:val="both"/>
              <w:rPr>
                <w:rFonts w:ascii="Times New Roman" w:hAnsi="Times New Roman"/>
                <w:color w:val="000000"/>
                <w:sz w:val="22"/>
              </w:rPr>
            </w:pPr>
            <w:r>
              <w:rPr>
                <w:rFonts w:ascii="Times New Roman" w:hAnsi="Times New Roman"/>
                <w:color w:val="000000"/>
                <w:sz w:val="22"/>
              </w:rPr>
              <w:t>- Any other documents given approval/ favourable opinion</w:t>
            </w:r>
          </w:p>
        </w:tc>
        <w:tc>
          <w:tcPr>
            <w:tcW w:w="119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220"/>
              <w:jc w:val="both"/>
              <w:rPr>
                <w:rFonts w:ascii="Times New Roman" w:hAnsi="Times New Roman"/>
                <w:color w:val="000000"/>
                <w:sz w:val="22"/>
              </w:rPr>
            </w:pPr>
            <w:r>
              <w:rPr>
                <w:rFonts w:ascii="Times New Roman" w:hAnsi="Times New Roman"/>
                <w:color w:val="000000"/>
                <w:sz w:val="22"/>
              </w:rPr>
              <w:t>X</w:t>
            </w:r>
          </w:p>
        </w:tc>
        <w:tc>
          <w:tcPr>
            <w:tcW w:w="139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220"/>
              <w:jc w:val="both"/>
              <w:rPr/>
            </w:pPr>
            <w:r>
              <w:rPr/>
              <w:t> </w:t>
            </w:r>
          </w:p>
        </w:tc>
      </w:tr>
      <w:tr>
        <w:trPr/>
        <w:tc>
          <w:tcPr>
            <w:tcW w:w="7618"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ind w:left="0" w:right="0" w:firstLine="220"/>
              <w:jc w:val="both"/>
              <w:rPr>
                <w:rFonts w:ascii="Times New Roman" w:hAnsi="Times New Roman"/>
                <w:color w:val="000000"/>
                <w:sz w:val="22"/>
              </w:rPr>
            </w:pPr>
            <w:r>
              <w:rPr>
                <w:rFonts w:ascii="Times New Roman" w:hAnsi="Times New Roman"/>
                <w:color w:val="000000"/>
                <w:sz w:val="22"/>
              </w:rPr>
              <w:t>Institutional Review Board/Independent Ethics Committee Composition</w:t>
            </w:r>
          </w:p>
        </w:tc>
        <w:tc>
          <w:tcPr>
            <w:tcW w:w="119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220"/>
              <w:jc w:val="both"/>
              <w:rPr>
                <w:rFonts w:ascii="Times New Roman" w:hAnsi="Times New Roman"/>
                <w:color w:val="000000"/>
                <w:sz w:val="22"/>
              </w:rPr>
            </w:pPr>
            <w:r>
              <w:rPr>
                <w:rFonts w:ascii="Times New Roman" w:hAnsi="Times New Roman"/>
                <w:color w:val="000000"/>
                <w:sz w:val="22"/>
              </w:rPr>
              <w:t>X</w:t>
            </w:r>
          </w:p>
        </w:tc>
        <w:tc>
          <w:tcPr>
            <w:tcW w:w="139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220"/>
              <w:jc w:val="both"/>
              <w:rPr/>
            </w:pPr>
            <w:r>
              <w:rPr/>
              <w:t> </w:t>
            </w:r>
          </w:p>
        </w:tc>
      </w:tr>
      <w:tr>
        <w:trPr/>
        <w:tc>
          <w:tcPr>
            <w:tcW w:w="7618"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ind w:left="220" w:right="0" w:firstLine="220"/>
              <w:jc w:val="both"/>
              <w:rPr>
                <w:rFonts w:ascii="Times New Roman" w:hAnsi="Times New Roman"/>
                <w:color w:val="000000"/>
                <w:sz w:val="22"/>
              </w:rPr>
            </w:pPr>
            <w:r>
              <w:rPr>
                <w:rFonts w:ascii="Times New Roman" w:hAnsi="Times New Roman"/>
                <w:color w:val="000000"/>
                <w:sz w:val="22"/>
              </w:rPr>
              <w:t>Regulatory Authority(ies)</w:t>
            </w:r>
          </w:p>
          <w:p>
            <w:pPr>
              <w:pStyle w:val="TableContents"/>
              <w:bidi w:val="0"/>
              <w:spacing w:before="0" w:after="283"/>
              <w:ind w:left="0" w:right="0" w:firstLine="220"/>
              <w:jc w:val="both"/>
              <w:rPr>
                <w:rFonts w:ascii="Times New Roman" w:hAnsi="Times New Roman"/>
                <w:color w:val="000000"/>
                <w:sz w:val="22"/>
              </w:rPr>
            </w:pPr>
            <w:r>
              <w:rPr>
                <w:rFonts w:ascii="Times New Roman" w:hAnsi="Times New Roman"/>
                <w:color w:val="000000"/>
                <w:sz w:val="22"/>
              </w:rPr>
              <w:t>Authorisation/Approval/Notification of Protocol (where required)</w:t>
            </w:r>
          </w:p>
        </w:tc>
        <w:tc>
          <w:tcPr>
            <w:tcW w:w="119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220"/>
              <w:jc w:val="both"/>
              <w:rPr>
                <w:rFonts w:ascii="Times New Roman" w:hAnsi="Times New Roman"/>
                <w:color w:val="000000"/>
                <w:sz w:val="22"/>
              </w:rPr>
            </w:pPr>
            <w:r>
              <w:rPr>
                <w:rFonts w:ascii="Times New Roman" w:hAnsi="Times New Roman"/>
                <w:color w:val="000000"/>
                <w:sz w:val="22"/>
              </w:rPr>
              <w:t>X</w:t>
              <w:br/>
              <w:t>(CTN)</w:t>
            </w:r>
          </w:p>
        </w:tc>
        <w:tc>
          <w:tcPr>
            <w:tcW w:w="139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220"/>
              <w:jc w:val="both"/>
              <w:rPr>
                <w:rFonts w:ascii="Times New Roman" w:hAnsi="Times New Roman"/>
                <w:color w:val="000000"/>
                <w:sz w:val="22"/>
              </w:rPr>
            </w:pPr>
            <w:r>
              <w:rPr>
                <w:rFonts w:ascii="Times New Roman" w:hAnsi="Times New Roman"/>
                <w:color w:val="000000"/>
                <w:sz w:val="22"/>
              </w:rPr>
              <w:t>X</w:t>
              <w:br/>
              <w:t>(CTN)</w:t>
            </w:r>
          </w:p>
        </w:tc>
      </w:tr>
      <w:tr>
        <w:trPr/>
        <w:tc>
          <w:tcPr>
            <w:tcW w:w="7618"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ind w:left="0" w:right="0" w:firstLine="220"/>
              <w:jc w:val="both"/>
              <w:rPr>
                <w:rFonts w:ascii="Times New Roman" w:hAnsi="Times New Roman"/>
                <w:color w:val="000000"/>
                <w:sz w:val="22"/>
              </w:rPr>
            </w:pPr>
            <w:r>
              <w:rPr>
                <w:rFonts w:ascii="Times New Roman" w:hAnsi="Times New Roman"/>
                <w:color w:val="000000"/>
                <w:sz w:val="22"/>
              </w:rPr>
              <w:t>Curriculum Vitae and/or Other Relevant Documents Evidencing Qualifications of Investigator(s) and Sub-Investigator(s)</w:t>
            </w:r>
          </w:p>
        </w:tc>
        <w:tc>
          <w:tcPr>
            <w:tcW w:w="119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220"/>
              <w:jc w:val="both"/>
              <w:rPr>
                <w:rFonts w:ascii="Times New Roman" w:hAnsi="Times New Roman"/>
                <w:color w:val="000000"/>
                <w:sz w:val="22"/>
              </w:rPr>
            </w:pPr>
            <w:r>
              <w:rPr>
                <w:rFonts w:ascii="Times New Roman" w:hAnsi="Times New Roman"/>
                <w:color w:val="000000"/>
                <w:sz w:val="22"/>
              </w:rPr>
              <w:t>X</w:t>
            </w:r>
          </w:p>
        </w:tc>
        <w:tc>
          <w:tcPr>
            <w:tcW w:w="139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220"/>
              <w:jc w:val="both"/>
              <w:rPr>
                <w:rFonts w:ascii="Times New Roman" w:hAnsi="Times New Roman"/>
                <w:color w:val="000000"/>
                <w:sz w:val="22"/>
              </w:rPr>
            </w:pPr>
            <w:r>
              <w:rPr>
                <w:rFonts w:ascii="Times New Roman" w:hAnsi="Times New Roman"/>
                <w:color w:val="000000"/>
                <w:sz w:val="22"/>
              </w:rPr>
              <w:t>X</w:t>
            </w:r>
          </w:p>
        </w:tc>
      </w:tr>
      <w:tr>
        <w:trPr/>
        <w:tc>
          <w:tcPr>
            <w:tcW w:w="7618"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ind w:left="0" w:right="0" w:firstLine="220"/>
              <w:jc w:val="both"/>
              <w:rPr>
                <w:rFonts w:ascii="Times New Roman" w:hAnsi="Times New Roman"/>
                <w:color w:val="000000"/>
                <w:sz w:val="22"/>
              </w:rPr>
            </w:pPr>
            <w:r>
              <w:rPr>
                <w:rFonts w:ascii="Times New Roman" w:hAnsi="Times New Roman"/>
                <w:color w:val="000000"/>
                <w:sz w:val="22"/>
              </w:rPr>
              <w:t>Normal Value(s)/Range(s) for Medical/ Laboratory/Technical Procedure(s) and/or Test(s) Included In the Protocol</w:t>
            </w:r>
          </w:p>
        </w:tc>
        <w:tc>
          <w:tcPr>
            <w:tcW w:w="119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220"/>
              <w:jc w:val="both"/>
              <w:rPr>
                <w:rFonts w:ascii="Times New Roman" w:hAnsi="Times New Roman"/>
                <w:color w:val="000000"/>
                <w:sz w:val="22"/>
              </w:rPr>
            </w:pPr>
            <w:r>
              <w:rPr>
                <w:rFonts w:ascii="Times New Roman" w:hAnsi="Times New Roman"/>
                <w:color w:val="000000"/>
                <w:sz w:val="22"/>
              </w:rPr>
              <w:t>X</w:t>
            </w:r>
          </w:p>
        </w:tc>
        <w:tc>
          <w:tcPr>
            <w:tcW w:w="139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220"/>
              <w:jc w:val="both"/>
              <w:rPr/>
            </w:pPr>
            <w:r>
              <w:rPr/>
              <w:t> </w:t>
            </w:r>
          </w:p>
        </w:tc>
      </w:tr>
      <w:tr>
        <w:trPr/>
        <w:tc>
          <w:tcPr>
            <w:tcW w:w="7618"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ind w:left="220" w:right="0" w:firstLine="220"/>
              <w:jc w:val="both"/>
              <w:rPr>
                <w:rFonts w:ascii="Times New Roman" w:hAnsi="Times New Roman"/>
                <w:color w:val="000000"/>
                <w:sz w:val="22"/>
              </w:rPr>
            </w:pPr>
            <w:r>
              <w:rPr>
                <w:rFonts w:ascii="Times New Roman" w:hAnsi="Times New Roman"/>
                <w:color w:val="000000"/>
                <w:sz w:val="22"/>
              </w:rPr>
              <w:t>Medical/Laboratory/Technical Procedures /Tests</w:t>
            </w:r>
          </w:p>
          <w:p>
            <w:pPr>
              <w:pStyle w:val="TableContents"/>
              <w:bidi w:val="0"/>
              <w:ind w:left="220" w:right="0" w:firstLine="220"/>
              <w:jc w:val="both"/>
              <w:rPr>
                <w:rFonts w:ascii="Times New Roman" w:hAnsi="Times New Roman"/>
                <w:color w:val="000000"/>
                <w:sz w:val="22"/>
              </w:rPr>
            </w:pPr>
            <w:r>
              <w:rPr>
                <w:rFonts w:ascii="Times New Roman" w:hAnsi="Times New Roman"/>
                <w:color w:val="000000"/>
                <w:sz w:val="22"/>
              </w:rPr>
              <w:t>- Certification or</w:t>
            </w:r>
          </w:p>
          <w:p>
            <w:pPr>
              <w:pStyle w:val="TableContents"/>
              <w:bidi w:val="0"/>
              <w:ind w:left="220" w:right="0" w:firstLine="220"/>
              <w:jc w:val="both"/>
              <w:rPr>
                <w:rFonts w:ascii="Times New Roman" w:hAnsi="Times New Roman"/>
                <w:color w:val="000000"/>
                <w:sz w:val="22"/>
              </w:rPr>
            </w:pPr>
            <w:r>
              <w:rPr>
                <w:rFonts w:ascii="Times New Roman" w:hAnsi="Times New Roman"/>
                <w:color w:val="000000"/>
                <w:sz w:val="22"/>
              </w:rPr>
              <w:t>- Accreditation or</w:t>
            </w:r>
          </w:p>
          <w:p>
            <w:pPr>
              <w:pStyle w:val="TableContents"/>
              <w:bidi w:val="0"/>
              <w:ind w:left="220" w:right="0" w:firstLine="220"/>
              <w:jc w:val="both"/>
              <w:rPr>
                <w:rFonts w:ascii="Times New Roman" w:hAnsi="Times New Roman"/>
                <w:color w:val="000000"/>
                <w:sz w:val="22"/>
              </w:rPr>
            </w:pPr>
            <w:r>
              <w:rPr>
                <w:rFonts w:ascii="Times New Roman" w:hAnsi="Times New Roman"/>
                <w:color w:val="000000"/>
                <w:sz w:val="22"/>
              </w:rPr>
              <w:t>- Established quality control and/or external quality assessment or</w:t>
            </w:r>
          </w:p>
          <w:p>
            <w:pPr>
              <w:pStyle w:val="TableContents"/>
              <w:bidi w:val="0"/>
              <w:spacing w:before="0" w:after="283"/>
              <w:ind w:left="0" w:right="0" w:firstLine="220"/>
              <w:jc w:val="both"/>
              <w:rPr>
                <w:rFonts w:ascii="Times New Roman" w:hAnsi="Times New Roman"/>
                <w:color w:val="000000"/>
                <w:sz w:val="22"/>
              </w:rPr>
            </w:pPr>
            <w:r>
              <w:rPr>
                <w:rFonts w:ascii="Times New Roman" w:hAnsi="Times New Roman"/>
                <w:color w:val="000000"/>
                <w:sz w:val="22"/>
              </w:rPr>
              <w:t>- Other validation (where required)</w:t>
            </w:r>
          </w:p>
        </w:tc>
        <w:tc>
          <w:tcPr>
            <w:tcW w:w="119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220"/>
              <w:jc w:val="both"/>
              <w:rPr>
                <w:rFonts w:ascii="Times New Roman" w:hAnsi="Times New Roman"/>
                <w:color w:val="000000"/>
                <w:sz w:val="22"/>
              </w:rPr>
            </w:pPr>
            <w:r>
              <w:rPr>
                <w:rFonts w:ascii="Times New Roman" w:hAnsi="Times New Roman"/>
                <w:color w:val="000000"/>
                <w:sz w:val="22"/>
              </w:rPr>
              <w:t>X</w:t>
            </w:r>
          </w:p>
        </w:tc>
        <w:tc>
          <w:tcPr>
            <w:tcW w:w="139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220"/>
              <w:jc w:val="both"/>
              <w:rPr/>
            </w:pPr>
            <w:r>
              <w:rPr/>
              <w:t> </w:t>
            </w:r>
          </w:p>
        </w:tc>
      </w:tr>
      <w:tr>
        <w:trPr/>
        <w:tc>
          <w:tcPr>
            <w:tcW w:w="7618"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ind w:left="0" w:right="0" w:firstLine="220"/>
              <w:jc w:val="both"/>
              <w:rPr>
                <w:rFonts w:ascii="Times New Roman" w:hAnsi="Times New Roman"/>
                <w:color w:val="000000"/>
                <w:sz w:val="22"/>
              </w:rPr>
            </w:pPr>
            <w:r>
              <w:rPr>
                <w:rFonts w:ascii="Times New Roman" w:hAnsi="Times New Roman"/>
                <w:color w:val="000000"/>
                <w:sz w:val="22"/>
              </w:rPr>
              <w:t>Sample of Label(s) Attached to Investigational Product Container(s)</w:t>
            </w:r>
          </w:p>
        </w:tc>
        <w:tc>
          <w:tcPr>
            <w:tcW w:w="119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220"/>
              <w:jc w:val="both"/>
              <w:rPr>
                <w:rFonts w:ascii="Times New Roman" w:hAnsi="Times New Roman"/>
                <w:color w:val="000000"/>
                <w:sz w:val="22"/>
              </w:rPr>
            </w:pPr>
            <w:r>
              <w:rPr>
                <w:rFonts w:ascii="Times New Roman" w:hAnsi="Times New Roman"/>
                <w:color w:val="000000"/>
                <w:sz w:val="22"/>
              </w:rPr>
              <w:t>X</w:t>
            </w:r>
          </w:p>
        </w:tc>
        <w:tc>
          <w:tcPr>
            <w:tcW w:w="139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220"/>
              <w:jc w:val="both"/>
              <w:rPr/>
            </w:pPr>
            <w:r>
              <w:rPr/>
              <w:t> </w:t>
            </w:r>
          </w:p>
        </w:tc>
      </w:tr>
      <w:tr>
        <w:trPr/>
        <w:tc>
          <w:tcPr>
            <w:tcW w:w="7618"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ind w:left="220" w:right="0" w:firstLine="220"/>
              <w:jc w:val="both"/>
              <w:rPr>
                <w:rFonts w:ascii="Times New Roman" w:hAnsi="Times New Roman"/>
                <w:color w:val="000000"/>
                <w:sz w:val="22"/>
              </w:rPr>
            </w:pPr>
            <w:r>
              <w:rPr>
                <w:rFonts w:ascii="Times New Roman" w:hAnsi="Times New Roman"/>
                <w:color w:val="000000"/>
                <w:sz w:val="22"/>
              </w:rPr>
              <w:t>Instructions for Handling of Investigational Product(s) and Trial-Related Materials</w:t>
            </w:r>
          </w:p>
          <w:p>
            <w:pPr>
              <w:pStyle w:val="TableContents"/>
              <w:bidi w:val="0"/>
              <w:spacing w:before="0" w:after="283"/>
              <w:ind w:left="0" w:right="0" w:firstLine="220"/>
              <w:jc w:val="both"/>
              <w:rPr>
                <w:rFonts w:ascii="Times New Roman" w:hAnsi="Times New Roman"/>
                <w:color w:val="000000"/>
                <w:sz w:val="22"/>
              </w:rPr>
            </w:pPr>
            <w:r>
              <w:rPr>
                <w:rFonts w:ascii="Times New Roman" w:hAnsi="Times New Roman"/>
                <w:color w:val="000000"/>
                <w:sz w:val="22"/>
              </w:rPr>
              <w:t>(if not included in protocol or investigator’s brochure)</w:t>
            </w:r>
          </w:p>
        </w:tc>
        <w:tc>
          <w:tcPr>
            <w:tcW w:w="119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220"/>
              <w:jc w:val="both"/>
              <w:rPr>
                <w:rFonts w:ascii="Times New Roman" w:hAnsi="Times New Roman"/>
                <w:color w:val="000000"/>
                <w:sz w:val="22"/>
              </w:rPr>
            </w:pPr>
            <w:r>
              <w:rPr>
                <w:rFonts w:ascii="Times New Roman" w:hAnsi="Times New Roman"/>
                <w:color w:val="000000"/>
                <w:sz w:val="22"/>
              </w:rPr>
              <w:t>X</w:t>
            </w:r>
          </w:p>
        </w:tc>
        <w:tc>
          <w:tcPr>
            <w:tcW w:w="139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220" w:right="0" w:firstLine="220"/>
              <w:jc w:val="both"/>
              <w:rPr/>
            </w:pPr>
            <w:r>
              <w:rPr/>
              <w:t> </w:t>
            </w:r>
          </w:p>
        </w:tc>
      </w:tr>
    </w:tbl>
    <w:p>
      <w:pPr>
        <w:pStyle w:val="TextBody"/>
        <w:bidi w:val="0"/>
        <w:jc w:val="center"/>
        <w:rPr>
          <w:rFonts w:ascii="Times New Roman" w:hAnsi="Times New Roman"/>
          <w:color w:val="000000"/>
          <w:sz w:val="22"/>
        </w:rPr>
      </w:pPr>
      <w:r>
        <w:rPr>
          <w:rFonts w:ascii="Times New Roman" w:hAnsi="Times New Roman"/>
          <w:color w:val="000000"/>
          <w:sz w:val="22"/>
        </w:rPr>
        <w:t>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tbl>
      <w:tblPr>
        <w:tblW w:w="10205" w:type="dxa"/>
        <w:jc w:val="left"/>
        <w:tblInd w:w="0" w:type="dxa"/>
        <w:tblLayout w:type="fixed"/>
        <w:tblCellMar>
          <w:top w:w="28" w:type="dxa"/>
          <w:left w:w="28" w:type="dxa"/>
          <w:bottom w:w="28" w:type="dxa"/>
          <w:right w:w="28" w:type="dxa"/>
        </w:tblCellMar>
      </w:tblPr>
      <w:tblGrid>
        <w:gridCol w:w="7136"/>
        <w:gridCol w:w="1511"/>
        <w:gridCol w:w="1558"/>
      </w:tblGrid>
      <w:tr>
        <w:trPr/>
        <w:tc>
          <w:tcPr>
            <w:tcW w:w="7136" w:type="dxa"/>
            <w:tcBorders/>
            <w:shd w:fill="FFFFFF" w:val="clear"/>
            <w:vAlign w:val="center"/>
          </w:tcPr>
          <w:p>
            <w:pPr>
              <w:pStyle w:val="TableContents"/>
              <w:bidi w:val="0"/>
              <w:spacing w:before="0" w:after="283"/>
              <w:jc w:val="left"/>
              <w:rPr>
                <w:sz w:val="4"/>
                <w:szCs w:val="4"/>
              </w:rPr>
            </w:pPr>
            <w:r>
              <w:rPr>
                <w:sz w:val="4"/>
                <w:szCs w:val="4"/>
              </w:rPr>
            </w:r>
          </w:p>
        </w:tc>
        <w:tc>
          <w:tcPr>
            <w:tcW w:w="1511" w:type="dxa"/>
            <w:tcBorders/>
            <w:shd w:fill="FFFFFF" w:val="clear"/>
            <w:vAlign w:val="center"/>
          </w:tcPr>
          <w:p>
            <w:pPr>
              <w:pStyle w:val="TableContents"/>
              <w:bidi w:val="0"/>
              <w:spacing w:before="0" w:after="283"/>
              <w:jc w:val="left"/>
              <w:rPr>
                <w:sz w:val="4"/>
                <w:szCs w:val="4"/>
              </w:rPr>
            </w:pPr>
            <w:r>
              <w:rPr>
                <w:sz w:val="4"/>
                <w:szCs w:val="4"/>
              </w:rPr>
            </w:r>
          </w:p>
        </w:tc>
        <w:tc>
          <w:tcPr>
            <w:tcW w:w="1558" w:type="dxa"/>
            <w:tcBorders/>
            <w:shd w:fill="FFFFFF" w:val="clear"/>
            <w:vAlign w:val="center"/>
          </w:tcPr>
          <w:p>
            <w:pPr>
              <w:pStyle w:val="TableContents"/>
              <w:bidi w:val="0"/>
              <w:spacing w:before="0" w:after="283"/>
              <w:ind w:left="0" w:right="0" w:firstLine="220"/>
              <w:jc w:val="left"/>
              <w:rPr>
                <w:sz w:val="4"/>
                <w:szCs w:val="4"/>
              </w:rPr>
            </w:pPr>
            <w:r>
              <w:rPr>
                <w:sz w:val="4"/>
                <w:szCs w:val="4"/>
              </w:rPr>
            </w:r>
          </w:p>
        </w:tc>
      </w:tr>
      <w:tr>
        <w:trPr/>
        <w:tc>
          <w:tcPr>
            <w:tcW w:w="7136" w:type="dxa"/>
            <w:tcBorders>
              <w:top w:val="single" w:sz="4" w:space="0" w:color="000000"/>
              <w:left w:val="single" w:sz="4" w:space="0" w:color="000000"/>
              <w:bottom w:val="single" w:sz="4" w:space="0" w:color="000000"/>
              <w:right w:val="single" w:sz="4" w:space="0" w:color="000000"/>
            </w:tcBorders>
            <w:shd w:fill="BDD6EE" w:val="clear"/>
            <w:tcMar>
              <w:left w:w="108" w:type="dxa"/>
              <w:right w:w="108" w:type="dxa"/>
            </w:tcMar>
            <w:vAlign w:val="center"/>
          </w:tcPr>
          <w:p>
            <w:pPr>
              <w:pStyle w:val="TableContents"/>
              <w:bidi w:val="0"/>
              <w:spacing w:before="0" w:after="283"/>
              <w:ind w:left="0" w:right="0" w:firstLine="220"/>
              <w:jc w:val="both"/>
              <w:rPr>
                <w:rFonts w:ascii="Times New Roman" w:hAnsi="Times New Roman"/>
                <w:b/>
                <w:color w:val="000000"/>
                <w:sz w:val="22"/>
              </w:rPr>
            </w:pPr>
            <w:r>
              <w:rPr>
                <w:rFonts w:ascii="Times New Roman" w:hAnsi="Times New Roman"/>
                <w:b/>
                <w:color w:val="000000"/>
                <w:sz w:val="22"/>
              </w:rPr>
              <w:t>Document</w:t>
            </w:r>
          </w:p>
        </w:tc>
        <w:tc>
          <w:tcPr>
            <w:tcW w:w="1511" w:type="dxa"/>
            <w:tcBorders>
              <w:top w:val="single" w:sz="4" w:space="0" w:color="000000"/>
              <w:bottom w:val="single" w:sz="4" w:space="0" w:color="000000"/>
              <w:right w:val="single" w:sz="4" w:space="0" w:color="000000"/>
            </w:tcBorders>
            <w:shd w:fill="BDD6EE" w:val="clear"/>
            <w:tcMar>
              <w:left w:w="0" w:type="dxa"/>
              <w:right w:w="108" w:type="dxa"/>
            </w:tcMar>
            <w:vAlign w:val="center"/>
          </w:tcPr>
          <w:p>
            <w:pPr>
              <w:pStyle w:val="TableContents"/>
              <w:bidi w:val="0"/>
              <w:spacing w:before="0" w:after="283"/>
              <w:ind w:left="0" w:right="0" w:firstLine="220"/>
              <w:jc w:val="both"/>
              <w:rPr>
                <w:rFonts w:ascii="Times New Roman" w:hAnsi="Times New Roman"/>
                <w:b/>
                <w:color w:val="000000"/>
                <w:sz w:val="22"/>
              </w:rPr>
            </w:pPr>
            <w:r>
              <w:rPr>
                <w:rFonts w:ascii="Times New Roman" w:hAnsi="Times New Roman"/>
                <w:b/>
                <w:color w:val="000000"/>
                <w:sz w:val="22"/>
              </w:rPr>
              <w:t>JPN-Ph1</w:t>
              <w:br/>
              <w:t>(I101)</w:t>
            </w:r>
          </w:p>
        </w:tc>
        <w:tc>
          <w:tcPr>
            <w:tcW w:w="1558" w:type="dxa"/>
            <w:tcBorders>
              <w:top w:val="single" w:sz="4" w:space="0" w:color="000000"/>
              <w:bottom w:val="single" w:sz="4" w:space="0" w:color="000000"/>
              <w:right w:val="single" w:sz="4" w:space="0" w:color="000000"/>
            </w:tcBorders>
            <w:shd w:fill="BDD6EE" w:val="clear"/>
            <w:tcMar>
              <w:left w:w="0" w:type="dxa"/>
              <w:right w:w="108" w:type="dxa"/>
            </w:tcMar>
            <w:vAlign w:val="center"/>
          </w:tcPr>
          <w:p>
            <w:pPr>
              <w:pStyle w:val="TableContents"/>
              <w:bidi w:val="0"/>
              <w:spacing w:before="0" w:after="283"/>
              <w:ind w:left="0" w:right="0" w:firstLine="220"/>
              <w:jc w:val="both"/>
              <w:rPr>
                <w:rFonts w:ascii="Times New Roman" w:hAnsi="Times New Roman"/>
                <w:b/>
                <w:color w:val="000000"/>
                <w:sz w:val="22"/>
              </w:rPr>
            </w:pPr>
            <w:r>
              <w:rPr>
                <w:rFonts w:ascii="Times New Roman" w:hAnsi="Times New Roman"/>
                <w:b/>
                <w:color w:val="000000"/>
                <w:sz w:val="22"/>
              </w:rPr>
              <w:t>Ph3 MRCT*</w:t>
              <w:br/>
              <w:t>(C004)</w:t>
            </w:r>
          </w:p>
        </w:tc>
      </w:tr>
      <w:tr>
        <w:trPr/>
        <w:tc>
          <w:tcPr>
            <w:tcW w:w="713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ind w:left="0" w:right="0" w:firstLine="220"/>
              <w:jc w:val="both"/>
              <w:rPr>
                <w:rFonts w:ascii="Times New Roman" w:hAnsi="Times New Roman"/>
                <w:color w:val="000000"/>
                <w:sz w:val="22"/>
              </w:rPr>
            </w:pPr>
            <w:r>
              <w:rPr>
                <w:rFonts w:ascii="Times New Roman" w:hAnsi="Times New Roman"/>
                <w:color w:val="000000"/>
                <w:sz w:val="22"/>
              </w:rPr>
              <w:t>Shipping records for investigational product(s) and trial-related materials</w:t>
            </w:r>
          </w:p>
        </w:tc>
        <w:tc>
          <w:tcPr>
            <w:tcW w:w="15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220"/>
              <w:jc w:val="both"/>
              <w:rPr>
                <w:rFonts w:ascii="Times New Roman" w:hAnsi="Times New Roman"/>
                <w:color w:val="000000"/>
                <w:sz w:val="22"/>
              </w:rPr>
            </w:pPr>
            <w:r>
              <w:rPr>
                <w:rFonts w:ascii="Times New Roman" w:hAnsi="Times New Roman"/>
                <w:color w:val="000000"/>
                <w:sz w:val="22"/>
              </w:rPr>
              <w:t>X</w:t>
            </w:r>
          </w:p>
        </w:tc>
        <w:tc>
          <w:tcPr>
            <w:tcW w:w="155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220"/>
              <w:jc w:val="both"/>
              <w:rPr/>
            </w:pPr>
            <w:r>
              <w:rPr/>
              <w:t> </w:t>
            </w:r>
          </w:p>
        </w:tc>
      </w:tr>
      <w:tr>
        <w:trPr/>
        <w:tc>
          <w:tcPr>
            <w:tcW w:w="713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ind w:left="0" w:right="0" w:firstLine="220"/>
              <w:jc w:val="both"/>
              <w:rPr>
                <w:rFonts w:ascii="Times New Roman" w:hAnsi="Times New Roman"/>
                <w:color w:val="000000"/>
                <w:sz w:val="22"/>
              </w:rPr>
            </w:pPr>
            <w:r>
              <w:rPr>
                <w:rFonts w:ascii="Times New Roman" w:hAnsi="Times New Roman"/>
                <w:color w:val="000000"/>
                <w:sz w:val="22"/>
              </w:rPr>
              <w:t>Certificate(s) of analysis of investigational product(s) shipped</w:t>
            </w:r>
          </w:p>
        </w:tc>
        <w:tc>
          <w:tcPr>
            <w:tcW w:w="15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220"/>
              <w:jc w:val="both"/>
              <w:rPr>
                <w:rFonts w:ascii="Times New Roman" w:hAnsi="Times New Roman"/>
                <w:color w:val="000000"/>
                <w:sz w:val="22"/>
              </w:rPr>
            </w:pPr>
            <w:r>
              <w:rPr>
                <w:rFonts w:ascii="Times New Roman" w:hAnsi="Times New Roman"/>
                <w:color w:val="000000"/>
                <w:sz w:val="22"/>
              </w:rPr>
              <w:t>X</w:t>
            </w:r>
          </w:p>
        </w:tc>
        <w:tc>
          <w:tcPr>
            <w:tcW w:w="155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220"/>
              <w:jc w:val="both"/>
              <w:rPr/>
            </w:pPr>
            <w:r>
              <w:rPr/>
              <w:t> </w:t>
            </w:r>
          </w:p>
        </w:tc>
      </w:tr>
      <w:tr>
        <w:trPr/>
        <w:tc>
          <w:tcPr>
            <w:tcW w:w="713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ind w:left="0" w:right="0" w:firstLine="220"/>
              <w:jc w:val="both"/>
              <w:rPr>
                <w:rFonts w:ascii="Times New Roman" w:hAnsi="Times New Roman"/>
                <w:color w:val="000000"/>
                <w:sz w:val="22"/>
              </w:rPr>
            </w:pPr>
            <w:r>
              <w:rPr>
                <w:rFonts w:ascii="Times New Roman" w:hAnsi="Times New Roman"/>
                <w:color w:val="000000"/>
                <w:sz w:val="22"/>
              </w:rPr>
              <w:t>Decoding procedures for blinded trials</w:t>
            </w:r>
          </w:p>
        </w:tc>
        <w:tc>
          <w:tcPr>
            <w:tcW w:w="15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220"/>
              <w:jc w:val="both"/>
              <w:rPr>
                <w:rFonts w:ascii="Times New Roman" w:hAnsi="Times New Roman"/>
                <w:color w:val="000000"/>
                <w:sz w:val="22"/>
              </w:rPr>
            </w:pPr>
            <w:r>
              <w:rPr>
                <w:rFonts w:ascii="Times New Roman" w:hAnsi="Times New Roman"/>
                <w:color w:val="000000"/>
                <w:sz w:val="22"/>
              </w:rPr>
              <w:t>X</w:t>
            </w:r>
          </w:p>
        </w:tc>
        <w:tc>
          <w:tcPr>
            <w:tcW w:w="155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220"/>
              <w:jc w:val="both"/>
              <w:rPr/>
            </w:pPr>
            <w:r>
              <w:rPr/>
              <w:t> </w:t>
            </w:r>
          </w:p>
        </w:tc>
      </w:tr>
      <w:tr>
        <w:trPr/>
        <w:tc>
          <w:tcPr>
            <w:tcW w:w="713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ind w:left="0" w:right="0" w:firstLine="220"/>
              <w:jc w:val="both"/>
              <w:rPr>
                <w:rFonts w:ascii="Times New Roman" w:hAnsi="Times New Roman"/>
                <w:color w:val="000000"/>
                <w:sz w:val="22"/>
              </w:rPr>
            </w:pPr>
            <w:r>
              <w:rPr>
                <w:rFonts w:ascii="Times New Roman" w:hAnsi="Times New Roman"/>
                <w:color w:val="000000"/>
                <w:sz w:val="22"/>
              </w:rPr>
              <w:t>Master randomisation list</w:t>
            </w:r>
          </w:p>
        </w:tc>
        <w:tc>
          <w:tcPr>
            <w:tcW w:w="15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220"/>
              <w:jc w:val="both"/>
              <w:rPr>
                <w:rFonts w:ascii="Times New Roman" w:hAnsi="Times New Roman"/>
                <w:color w:val="000000"/>
                <w:sz w:val="22"/>
              </w:rPr>
            </w:pPr>
            <w:r>
              <w:rPr>
                <w:rFonts w:ascii="Times New Roman" w:hAnsi="Times New Roman"/>
                <w:color w:val="000000"/>
                <w:sz w:val="22"/>
              </w:rPr>
              <w:t>X</w:t>
            </w:r>
          </w:p>
        </w:tc>
        <w:tc>
          <w:tcPr>
            <w:tcW w:w="155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220"/>
              <w:jc w:val="both"/>
              <w:rPr/>
            </w:pPr>
            <w:r>
              <w:rPr/>
              <w:t> </w:t>
            </w:r>
          </w:p>
        </w:tc>
      </w:tr>
      <w:tr>
        <w:trPr/>
        <w:tc>
          <w:tcPr>
            <w:tcW w:w="713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ind w:left="0" w:right="0" w:firstLine="220"/>
              <w:jc w:val="both"/>
              <w:rPr>
                <w:rFonts w:ascii="Times New Roman" w:hAnsi="Times New Roman"/>
                <w:color w:val="000000"/>
                <w:sz w:val="22"/>
              </w:rPr>
            </w:pPr>
            <w:r>
              <w:rPr>
                <w:rFonts w:ascii="Times New Roman" w:hAnsi="Times New Roman"/>
                <w:color w:val="000000"/>
                <w:sz w:val="22"/>
              </w:rPr>
              <w:t>Pre-Trial Monitoring Report</w:t>
            </w:r>
          </w:p>
        </w:tc>
        <w:tc>
          <w:tcPr>
            <w:tcW w:w="15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220"/>
              <w:jc w:val="both"/>
              <w:rPr>
                <w:rFonts w:ascii="Times New Roman" w:hAnsi="Times New Roman"/>
                <w:color w:val="000000"/>
                <w:sz w:val="22"/>
              </w:rPr>
            </w:pPr>
            <w:r>
              <w:rPr>
                <w:rFonts w:ascii="Times New Roman" w:hAnsi="Times New Roman"/>
                <w:color w:val="000000"/>
                <w:sz w:val="22"/>
              </w:rPr>
              <w:t>X</w:t>
            </w:r>
          </w:p>
        </w:tc>
        <w:tc>
          <w:tcPr>
            <w:tcW w:w="155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220"/>
              <w:jc w:val="both"/>
              <w:rPr/>
            </w:pPr>
            <w:r>
              <w:rPr/>
              <w:t> </w:t>
            </w:r>
          </w:p>
        </w:tc>
      </w:tr>
      <w:tr>
        <w:trPr/>
        <w:tc>
          <w:tcPr>
            <w:tcW w:w="713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ind w:left="0" w:right="0" w:firstLine="220"/>
              <w:jc w:val="both"/>
              <w:rPr>
                <w:rFonts w:ascii="Times New Roman" w:hAnsi="Times New Roman"/>
                <w:color w:val="000000"/>
                <w:sz w:val="22"/>
              </w:rPr>
            </w:pPr>
            <w:r>
              <w:rPr>
                <w:rFonts w:ascii="Times New Roman" w:hAnsi="Times New Roman"/>
                <w:color w:val="000000"/>
                <w:sz w:val="22"/>
              </w:rPr>
              <w:t>Trial Initiation Monitoring Report</w:t>
            </w:r>
          </w:p>
        </w:tc>
        <w:tc>
          <w:tcPr>
            <w:tcW w:w="15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220"/>
              <w:jc w:val="both"/>
              <w:rPr>
                <w:rFonts w:ascii="Times New Roman" w:hAnsi="Times New Roman"/>
                <w:color w:val="000000"/>
                <w:sz w:val="22"/>
              </w:rPr>
            </w:pPr>
            <w:r>
              <w:rPr>
                <w:rFonts w:ascii="Times New Roman" w:hAnsi="Times New Roman"/>
                <w:color w:val="000000"/>
                <w:sz w:val="22"/>
              </w:rPr>
              <w:t>X</w:t>
            </w:r>
          </w:p>
        </w:tc>
        <w:tc>
          <w:tcPr>
            <w:tcW w:w="155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220"/>
              <w:jc w:val="both"/>
              <w:rPr/>
            </w:pPr>
            <w:r>
              <w:rPr/>
              <w:t> </w:t>
            </w:r>
          </w:p>
        </w:tc>
      </w:tr>
      <w:tr>
        <w:trPr/>
        <w:tc>
          <w:tcPr>
            <w:tcW w:w="713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ind w:left="0" w:right="0" w:firstLine="220"/>
              <w:jc w:val="both"/>
              <w:rPr>
                <w:rFonts w:ascii="Times New Roman" w:hAnsi="Times New Roman"/>
                <w:b/>
                <w:color w:val="000000"/>
                <w:sz w:val="22"/>
              </w:rPr>
            </w:pPr>
            <w:r>
              <w:rPr>
                <w:rFonts w:ascii="Times New Roman" w:hAnsi="Times New Roman"/>
                <w:b/>
                <w:color w:val="000000"/>
                <w:sz w:val="22"/>
              </w:rPr>
              <w:t>During the Clinical Conduct of the Trial</w:t>
            </w:r>
          </w:p>
        </w:tc>
        <w:tc>
          <w:tcPr>
            <w:tcW w:w="15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220"/>
              <w:jc w:val="left"/>
              <w:rPr>
                <w:sz w:val="4"/>
                <w:szCs w:val="4"/>
              </w:rPr>
            </w:pPr>
            <w:r>
              <w:rPr>
                <w:sz w:val="4"/>
                <w:szCs w:val="4"/>
              </w:rPr>
            </w:r>
          </w:p>
        </w:tc>
        <w:tc>
          <w:tcPr>
            <w:tcW w:w="155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220"/>
              <w:jc w:val="left"/>
              <w:rPr>
                <w:sz w:val="4"/>
                <w:szCs w:val="4"/>
              </w:rPr>
            </w:pPr>
            <w:r>
              <w:rPr>
                <w:sz w:val="4"/>
                <w:szCs w:val="4"/>
              </w:rPr>
            </w:r>
          </w:p>
        </w:tc>
      </w:tr>
      <w:tr>
        <w:trPr/>
        <w:tc>
          <w:tcPr>
            <w:tcW w:w="713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ind w:left="0" w:right="0" w:firstLine="220"/>
              <w:jc w:val="both"/>
              <w:rPr>
                <w:rFonts w:ascii="Times New Roman" w:hAnsi="Times New Roman"/>
                <w:color w:val="000000"/>
                <w:sz w:val="22"/>
              </w:rPr>
            </w:pPr>
            <w:r>
              <w:rPr>
                <w:rFonts w:ascii="Times New Roman" w:hAnsi="Times New Roman"/>
                <w:color w:val="000000"/>
                <w:sz w:val="22"/>
              </w:rPr>
              <w:t>Investigator’s Brochure Updates</w:t>
            </w:r>
          </w:p>
        </w:tc>
        <w:tc>
          <w:tcPr>
            <w:tcW w:w="15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220"/>
              <w:jc w:val="both"/>
              <w:rPr>
                <w:rFonts w:ascii="Times New Roman" w:hAnsi="Times New Roman"/>
                <w:color w:val="000000"/>
                <w:sz w:val="22"/>
              </w:rPr>
            </w:pPr>
            <w:r>
              <w:rPr>
                <w:rFonts w:ascii="Times New Roman" w:hAnsi="Times New Roman"/>
                <w:color w:val="000000"/>
                <w:sz w:val="22"/>
              </w:rPr>
              <w:t>X</w:t>
            </w:r>
          </w:p>
        </w:tc>
        <w:tc>
          <w:tcPr>
            <w:tcW w:w="155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220"/>
              <w:jc w:val="both"/>
              <w:rPr/>
            </w:pPr>
            <w:r>
              <w:rPr/>
              <w:t> </w:t>
            </w:r>
          </w:p>
        </w:tc>
      </w:tr>
      <w:tr>
        <w:trPr/>
        <w:tc>
          <w:tcPr>
            <w:tcW w:w="713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ind w:left="220" w:right="0" w:firstLine="220"/>
              <w:jc w:val="both"/>
              <w:rPr>
                <w:rFonts w:ascii="Times New Roman" w:hAnsi="Times New Roman"/>
                <w:color w:val="000000"/>
                <w:sz w:val="22"/>
              </w:rPr>
            </w:pPr>
            <w:r>
              <w:rPr>
                <w:rFonts w:ascii="Times New Roman" w:hAnsi="Times New Roman"/>
                <w:color w:val="000000"/>
                <w:sz w:val="22"/>
              </w:rPr>
              <w:t>Any Revision to:</w:t>
            </w:r>
          </w:p>
          <w:p>
            <w:pPr>
              <w:pStyle w:val="TableContents"/>
              <w:bidi w:val="0"/>
              <w:ind w:left="220" w:right="0" w:firstLine="220"/>
              <w:jc w:val="both"/>
              <w:rPr>
                <w:rFonts w:ascii="Times New Roman" w:hAnsi="Times New Roman"/>
                <w:color w:val="000000"/>
                <w:sz w:val="22"/>
              </w:rPr>
            </w:pPr>
            <w:r>
              <w:rPr>
                <w:rFonts w:ascii="Times New Roman" w:hAnsi="Times New Roman"/>
                <w:color w:val="000000"/>
                <w:sz w:val="22"/>
              </w:rPr>
              <w:t>- Protocol/amendment(s) and CRF</w:t>
            </w:r>
          </w:p>
          <w:p>
            <w:pPr>
              <w:pStyle w:val="TableContents"/>
              <w:bidi w:val="0"/>
              <w:ind w:left="220" w:right="0" w:firstLine="220"/>
              <w:jc w:val="both"/>
              <w:rPr>
                <w:rFonts w:ascii="Times New Roman" w:hAnsi="Times New Roman"/>
                <w:color w:val="000000"/>
                <w:sz w:val="22"/>
              </w:rPr>
            </w:pPr>
            <w:r>
              <w:rPr>
                <w:rFonts w:ascii="Times New Roman" w:hAnsi="Times New Roman"/>
                <w:color w:val="000000"/>
                <w:sz w:val="22"/>
              </w:rPr>
              <w:t>- Informed consent form</w:t>
            </w:r>
          </w:p>
          <w:p>
            <w:pPr>
              <w:pStyle w:val="TableContents"/>
              <w:bidi w:val="0"/>
              <w:ind w:left="220" w:right="0" w:firstLine="220"/>
              <w:jc w:val="both"/>
              <w:rPr>
                <w:rFonts w:ascii="Times New Roman" w:hAnsi="Times New Roman"/>
                <w:color w:val="000000"/>
                <w:sz w:val="22"/>
              </w:rPr>
            </w:pPr>
            <w:r>
              <w:rPr>
                <w:rFonts w:ascii="Times New Roman" w:hAnsi="Times New Roman"/>
                <w:color w:val="000000"/>
                <w:sz w:val="22"/>
              </w:rPr>
              <w:t>- Any other written information provided to subjects</w:t>
            </w:r>
          </w:p>
          <w:p>
            <w:pPr>
              <w:pStyle w:val="TableContents"/>
              <w:bidi w:val="0"/>
              <w:spacing w:before="0" w:after="283"/>
              <w:ind w:left="0" w:right="0" w:firstLine="220"/>
              <w:jc w:val="both"/>
              <w:rPr>
                <w:rFonts w:ascii="Times New Roman" w:hAnsi="Times New Roman"/>
                <w:color w:val="000000"/>
                <w:sz w:val="22"/>
              </w:rPr>
            </w:pPr>
            <w:r>
              <w:rPr>
                <w:rFonts w:ascii="Times New Roman" w:hAnsi="Times New Roman"/>
                <w:color w:val="000000"/>
                <w:sz w:val="22"/>
              </w:rPr>
              <w:t>- Advertisement for subject recruitment (if used)</w:t>
            </w:r>
          </w:p>
        </w:tc>
        <w:tc>
          <w:tcPr>
            <w:tcW w:w="15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220"/>
              <w:jc w:val="both"/>
              <w:rPr>
                <w:rFonts w:ascii="Times New Roman" w:hAnsi="Times New Roman"/>
                <w:color w:val="000000"/>
                <w:sz w:val="22"/>
              </w:rPr>
            </w:pPr>
            <w:r>
              <w:rPr>
                <w:rFonts w:ascii="Times New Roman" w:hAnsi="Times New Roman"/>
                <w:color w:val="000000"/>
                <w:sz w:val="22"/>
              </w:rPr>
              <w:t>X</w:t>
            </w:r>
          </w:p>
        </w:tc>
        <w:tc>
          <w:tcPr>
            <w:tcW w:w="155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220"/>
              <w:jc w:val="both"/>
              <w:rPr/>
            </w:pPr>
            <w:r>
              <w:rPr/>
              <w:t> </w:t>
            </w:r>
          </w:p>
        </w:tc>
      </w:tr>
      <w:tr>
        <w:trPr/>
        <w:tc>
          <w:tcPr>
            <w:tcW w:w="713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ind w:left="0" w:right="0" w:firstLine="220"/>
              <w:jc w:val="both"/>
              <w:rPr>
                <w:rFonts w:ascii="Times New Roman" w:hAnsi="Times New Roman"/>
                <w:color w:val="000000"/>
                <w:sz w:val="22"/>
              </w:rPr>
            </w:pPr>
            <w:r>
              <w:rPr>
                <w:rFonts w:ascii="Times New Roman" w:hAnsi="Times New Roman"/>
                <w:color w:val="000000"/>
                <w:sz w:val="22"/>
              </w:rPr>
              <w:t>Dated, Documented Approval/Favourable Opinion of Institutional Review Board (IRB) /Independent Ethics Committee (IEC) of the Following:- Protocol amendment(s)- Revision(s) of:- Informed consent form- Any other written information to be provided to the subject- Advertisement for subject recruitment (if used)- Any other documents given approval/favourable opinion- Continuing review of trial (where required)</w:t>
            </w:r>
          </w:p>
        </w:tc>
        <w:tc>
          <w:tcPr>
            <w:tcW w:w="15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220"/>
              <w:jc w:val="both"/>
              <w:rPr>
                <w:rFonts w:ascii="Times New Roman" w:hAnsi="Times New Roman"/>
                <w:color w:val="000000"/>
                <w:sz w:val="22"/>
              </w:rPr>
            </w:pPr>
            <w:r>
              <w:rPr>
                <w:rFonts w:ascii="Times New Roman" w:hAnsi="Times New Roman"/>
                <w:color w:val="000000"/>
                <w:sz w:val="22"/>
              </w:rPr>
              <w:t>X</w:t>
            </w:r>
          </w:p>
        </w:tc>
        <w:tc>
          <w:tcPr>
            <w:tcW w:w="155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220"/>
              <w:jc w:val="both"/>
              <w:rPr/>
            </w:pPr>
            <w:r>
              <w:rPr/>
              <w:t> </w:t>
            </w:r>
          </w:p>
        </w:tc>
      </w:tr>
      <w:tr>
        <w:trPr/>
        <w:tc>
          <w:tcPr>
            <w:tcW w:w="713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ind w:left="220" w:right="0" w:firstLine="220"/>
              <w:jc w:val="both"/>
              <w:rPr>
                <w:rFonts w:ascii="Times New Roman" w:hAnsi="Times New Roman"/>
                <w:color w:val="000000"/>
                <w:sz w:val="22"/>
              </w:rPr>
            </w:pPr>
            <w:r>
              <w:rPr>
                <w:rFonts w:ascii="Times New Roman" w:hAnsi="Times New Roman"/>
                <w:color w:val="000000"/>
                <w:sz w:val="22"/>
              </w:rPr>
              <w:t>Regulatory Authority(ies) Authorisations/Approvals/Notifications Where Required for:</w:t>
            </w:r>
          </w:p>
          <w:p>
            <w:pPr>
              <w:pStyle w:val="TableContents"/>
              <w:bidi w:val="0"/>
              <w:spacing w:before="0" w:after="283"/>
              <w:ind w:left="0" w:right="0" w:firstLine="220"/>
              <w:jc w:val="both"/>
              <w:rPr>
                <w:rFonts w:ascii="Times New Roman" w:hAnsi="Times New Roman"/>
                <w:color w:val="000000"/>
                <w:sz w:val="22"/>
              </w:rPr>
            </w:pPr>
            <w:r>
              <w:rPr>
                <w:rFonts w:ascii="Times New Roman" w:hAnsi="Times New Roman"/>
                <w:color w:val="000000"/>
                <w:sz w:val="22"/>
              </w:rPr>
              <w:t>- Protocol Amendment(s) and other documents</w:t>
            </w:r>
          </w:p>
        </w:tc>
        <w:tc>
          <w:tcPr>
            <w:tcW w:w="15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220"/>
              <w:jc w:val="both"/>
              <w:rPr>
                <w:rFonts w:ascii="Times New Roman" w:hAnsi="Times New Roman"/>
                <w:color w:val="000000"/>
                <w:sz w:val="22"/>
              </w:rPr>
            </w:pPr>
            <w:r>
              <w:rPr>
                <w:rFonts w:ascii="Times New Roman" w:hAnsi="Times New Roman"/>
                <w:color w:val="000000"/>
                <w:sz w:val="22"/>
              </w:rPr>
              <w:t>X</w:t>
              <w:br/>
              <w:t>(CTN amendment)</w:t>
            </w:r>
          </w:p>
        </w:tc>
        <w:tc>
          <w:tcPr>
            <w:tcW w:w="155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220"/>
              <w:jc w:val="both"/>
              <w:rPr>
                <w:rFonts w:ascii="Times New Roman" w:hAnsi="Times New Roman"/>
                <w:color w:val="000000"/>
                <w:sz w:val="22"/>
              </w:rPr>
            </w:pPr>
            <w:r>
              <w:rPr>
                <w:rFonts w:ascii="Times New Roman" w:hAnsi="Times New Roman"/>
                <w:color w:val="000000"/>
                <w:sz w:val="22"/>
              </w:rPr>
              <w:t>X</w:t>
              <w:br/>
              <w:t>(CTN amendment)</w:t>
            </w:r>
          </w:p>
        </w:tc>
      </w:tr>
      <w:tr>
        <w:trPr/>
        <w:tc>
          <w:tcPr>
            <w:tcW w:w="713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ind w:left="0" w:right="0" w:firstLine="220"/>
              <w:jc w:val="both"/>
              <w:rPr>
                <w:rFonts w:ascii="Times New Roman" w:hAnsi="Times New Roman"/>
                <w:color w:val="000000"/>
                <w:sz w:val="22"/>
              </w:rPr>
            </w:pPr>
            <w:r>
              <w:rPr>
                <w:rFonts w:ascii="Times New Roman" w:hAnsi="Times New Roman"/>
                <w:color w:val="000000"/>
                <w:sz w:val="22"/>
              </w:rPr>
              <w:t>Curriculum Vitae for New Investigator(s) and/or Sub-Investigator(s)</w:t>
            </w:r>
          </w:p>
        </w:tc>
        <w:tc>
          <w:tcPr>
            <w:tcW w:w="15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220"/>
              <w:jc w:val="both"/>
              <w:rPr>
                <w:rFonts w:ascii="Times New Roman" w:hAnsi="Times New Roman"/>
                <w:color w:val="000000"/>
                <w:sz w:val="22"/>
              </w:rPr>
            </w:pPr>
            <w:r>
              <w:rPr>
                <w:rFonts w:ascii="Times New Roman" w:hAnsi="Times New Roman"/>
                <w:color w:val="000000"/>
                <w:sz w:val="22"/>
              </w:rPr>
              <w:t>X</w:t>
            </w:r>
          </w:p>
        </w:tc>
        <w:tc>
          <w:tcPr>
            <w:tcW w:w="155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220"/>
              <w:jc w:val="both"/>
              <w:rPr/>
            </w:pPr>
            <w:r>
              <w:rPr/>
              <w:t> </w:t>
            </w:r>
          </w:p>
        </w:tc>
      </w:tr>
      <w:tr>
        <w:trPr/>
        <w:tc>
          <w:tcPr>
            <w:tcW w:w="713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ind w:left="0" w:right="0" w:firstLine="220"/>
              <w:jc w:val="both"/>
              <w:rPr>
                <w:rFonts w:ascii="Times New Roman" w:hAnsi="Times New Roman"/>
                <w:color w:val="000000"/>
                <w:sz w:val="22"/>
              </w:rPr>
            </w:pPr>
            <w:r>
              <w:rPr>
                <w:rFonts w:ascii="Times New Roman" w:hAnsi="Times New Roman"/>
                <w:color w:val="000000"/>
                <w:sz w:val="22"/>
              </w:rPr>
              <w:t>Updates to Normal Value(s)/Range(s) for Medical/ Laboratory/ Technical Procedure(s)/Test(s) Included In the Protocol</w:t>
            </w:r>
          </w:p>
        </w:tc>
        <w:tc>
          <w:tcPr>
            <w:tcW w:w="15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220"/>
              <w:jc w:val="both"/>
              <w:rPr>
                <w:rFonts w:ascii="Times New Roman" w:hAnsi="Times New Roman"/>
                <w:color w:val="000000"/>
                <w:sz w:val="22"/>
              </w:rPr>
            </w:pPr>
            <w:r>
              <w:rPr>
                <w:rFonts w:ascii="Times New Roman" w:hAnsi="Times New Roman"/>
                <w:color w:val="000000"/>
                <w:sz w:val="22"/>
              </w:rPr>
              <w:t>NA</w:t>
            </w:r>
          </w:p>
        </w:tc>
        <w:tc>
          <w:tcPr>
            <w:tcW w:w="155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220"/>
              <w:jc w:val="both"/>
              <w:rPr/>
            </w:pPr>
            <w:r>
              <w:rPr/>
              <w:t> </w:t>
            </w:r>
          </w:p>
        </w:tc>
      </w:tr>
      <w:tr>
        <w:trPr/>
        <w:tc>
          <w:tcPr>
            <w:tcW w:w="713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ind w:left="220" w:right="0" w:firstLine="220"/>
              <w:jc w:val="both"/>
              <w:rPr>
                <w:rFonts w:ascii="Times New Roman" w:hAnsi="Times New Roman"/>
                <w:color w:val="000000"/>
                <w:sz w:val="22"/>
              </w:rPr>
            </w:pPr>
            <w:r>
              <w:rPr>
                <w:rFonts w:ascii="Times New Roman" w:hAnsi="Times New Roman"/>
                <w:color w:val="000000"/>
                <w:sz w:val="22"/>
              </w:rPr>
              <w:t>Updates of Medical/Laboratory/ Technical Procedures/Tests</w:t>
            </w:r>
          </w:p>
          <w:p>
            <w:pPr>
              <w:pStyle w:val="TableContents"/>
              <w:bidi w:val="0"/>
              <w:ind w:left="220" w:right="0" w:firstLine="220"/>
              <w:jc w:val="both"/>
              <w:rPr>
                <w:rFonts w:ascii="Times New Roman" w:hAnsi="Times New Roman"/>
                <w:color w:val="000000"/>
                <w:sz w:val="22"/>
              </w:rPr>
            </w:pPr>
            <w:r>
              <w:rPr>
                <w:rFonts w:ascii="Times New Roman" w:hAnsi="Times New Roman"/>
                <w:color w:val="000000"/>
                <w:sz w:val="22"/>
              </w:rPr>
              <w:t>- Certification or</w:t>
            </w:r>
          </w:p>
          <w:p>
            <w:pPr>
              <w:pStyle w:val="TableContents"/>
              <w:bidi w:val="0"/>
              <w:ind w:left="220" w:right="0" w:firstLine="220"/>
              <w:jc w:val="both"/>
              <w:rPr>
                <w:rFonts w:ascii="Times New Roman" w:hAnsi="Times New Roman"/>
                <w:color w:val="000000"/>
                <w:sz w:val="22"/>
              </w:rPr>
            </w:pPr>
            <w:r>
              <w:rPr>
                <w:rFonts w:ascii="Times New Roman" w:hAnsi="Times New Roman"/>
                <w:color w:val="000000"/>
                <w:sz w:val="22"/>
              </w:rPr>
              <w:t>- Accreditation or</w:t>
            </w:r>
          </w:p>
          <w:p>
            <w:pPr>
              <w:pStyle w:val="TableContents"/>
              <w:bidi w:val="0"/>
              <w:ind w:left="220" w:right="0" w:firstLine="220"/>
              <w:jc w:val="both"/>
              <w:rPr>
                <w:rFonts w:ascii="Times New Roman" w:hAnsi="Times New Roman"/>
                <w:color w:val="000000"/>
                <w:sz w:val="22"/>
              </w:rPr>
            </w:pPr>
            <w:r>
              <w:rPr>
                <w:rFonts w:ascii="Times New Roman" w:hAnsi="Times New Roman"/>
                <w:color w:val="000000"/>
                <w:sz w:val="22"/>
              </w:rPr>
              <w:t>- Established quality control and/or external quality assessment or</w:t>
            </w:r>
          </w:p>
          <w:p>
            <w:pPr>
              <w:pStyle w:val="TableContents"/>
              <w:bidi w:val="0"/>
              <w:spacing w:before="0" w:after="283"/>
              <w:ind w:left="0" w:right="0" w:firstLine="220"/>
              <w:jc w:val="both"/>
              <w:rPr>
                <w:rFonts w:ascii="Times New Roman" w:hAnsi="Times New Roman"/>
                <w:color w:val="000000"/>
                <w:sz w:val="22"/>
              </w:rPr>
            </w:pPr>
            <w:r>
              <w:rPr>
                <w:rFonts w:ascii="Times New Roman" w:hAnsi="Times New Roman"/>
                <w:color w:val="000000"/>
                <w:sz w:val="22"/>
              </w:rPr>
              <w:t>- Other validation (where required)</w:t>
            </w:r>
          </w:p>
        </w:tc>
        <w:tc>
          <w:tcPr>
            <w:tcW w:w="15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220"/>
              <w:jc w:val="both"/>
              <w:rPr>
                <w:rFonts w:ascii="Times New Roman" w:hAnsi="Times New Roman"/>
                <w:color w:val="000000"/>
                <w:sz w:val="22"/>
              </w:rPr>
            </w:pPr>
            <w:r>
              <w:rPr>
                <w:rFonts w:ascii="Times New Roman" w:hAnsi="Times New Roman"/>
                <w:color w:val="000000"/>
                <w:sz w:val="22"/>
              </w:rPr>
              <w:t>NA</w:t>
            </w:r>
          </w:p>
        </w:tc>
        <w:tc>
          <w:tcPr>
            <w:tcW w:w="155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220"/>
              <w:jc w:val="both"/>
              <w:rPr/>
            </w:pPr>
            <w:r>
              <w:rPr/>
              <w:t> </w:t>
            </w:r>
          </w:p>
        </w:tc>
      </w:tr>
      <w:tr>
        <w:trPr/>
        <w:tc>
          <w:tcPr>
            <w:tcW w:w="713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ind w:left="0" w:right="0" w:firstLine="220"/>
              <w:jc w:val="both"/>
              <w:rPr>
                <w:rFonts w:ascii="Times New Roman" w:hAnsi="Times New Roman"/>
                <w:color w:val="000000"/>
                <w:sz w:val="22"/>
              </w:rPr>
            </w:pPr>
            <w:r>
              <w:rPr>
                <w:rFonts w:ascii="Times New Roman" w:hAnsi="Times New Roman"/>
                <w:color w:val="000000"/>
                <w:sz w:val="22"/>
              </w:rPr>
              <w:t>Documentation of Investigational Product(s) and Trial-Related Materials Shipment</w:t>
            </w:r>
          </w:p>
        </w:tc>
        <w:tc>
          <w:tcPr>
            <w:tcW w:w="15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220"/>
              <w:jc w:val="both"/>
              <w:rPr>
                <w:rFonts w:ascii="Times New Roman" w:hAnsi="Times New Roman"/>
                <w:color w:val="000000"/>
                <w:sz w:val="22"/>
              </w:rPr>
            </w:pPr>
            <w:r>
              <w:rPr>
                <w:rFonts w:ascii="Times New Roman" w:hAnsi="Times New Roman"/>
                <w:color w:val="000000"/>
                <w:sz w:val="22"/>
              </w:rPr>
              <w:t>X</w:t>
            </w:r>
          </w:p>
        </w:tc>
        <w:tc>
          <w:tcPr>
            <w:tcW w:w="155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220"/>
              <w:jc w:val="both"/>
              <w:rPr/>
            </w:pPr>
            <w:r>
              <w:rPr/>
              <w:t> </w:t>
            </w:r>
          </w:p>
        </w:tc>
      </w:tr>
      <w:tr>
        <w:trPr/>
        <w:tc>
          <w:tcPr>
            <w:tcW w:w="713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ind w:left="0" w:right="0" w:firstLine="220"/>
              <w:jc w:val="both"/>
              <w:rPr>
                <w:rFonts w:ascii="Times New Roman" w:hAnsi="Times New Roman"/>
                <w:color w:val="000000"/>
                <w:sz w:val="22"/>
              </w:rPr>
            </w:pPr>
            <w:r>
              <w:rPr>
                <w:rFonts w:ascii="Times New Roman" w:hAnsi="Times New Roman"/>
                <w:color w:val="000000"/>
                <w:sz w:val="22"/>
              </w:rPr>
              <w:t>Certificate(s) of Analysis for New Batches of Investigational Products</w:t>
            </w:r>
          </w:p>
        </w:tc>
        <w:tc>
          <w:tcPr>
            <w:tcW w:w="15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220"/>
              <w:jc w:val="both"/>
              <w:rPr>
                <w:rFonts w:ascii="Times New Roman" w:hAnsi="Times New Roman"/>
                <w:color w:val="000000"/>
                <w:sz w:val="22"/>
              </w:rPr>
            </w:pPr>
            <w:r>
              <w:rPr>
                <w:rFonts w:ascii="Times New Roman" w:hAnsi="Times New Roman"/>
                <w:color w:val="000000"/>
                <w:sz w:val="22"/>
              </w:rPr>
              <w:t>NA</w:t>
            </w:r>
          </w:p>
        </w:tc>
        <w:tc>
          <w:tcPr>
            <w:tcW w:w="155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220"/>
              <w:jc w:val="both"/>
              <w:rPr/>
            </w:pPr>
            <w:r>
              <w:rPr/>
              <w:t> </w:t>
            </w:r>
          </w:p>
        </w:tc>
      </w:tr>
      <w:tr>
        <w:trPr/>
        <w:tc>
          <w:tcPr>
            <w:tcW w:w="713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ind w:left="0" w:right="0" w:firstLine="220"/>
              <w:jc w:val="both"/>
              <w:rPr>
                <w:rFonts w:ascii="Times New Roman" w:hAnsi="Times New Roman"/>
                <w:color w:val="000000"/>
                <w:sz w:val="22"/>
              </w:rPr>
            </w:pPr>
            <w:r>
              <w:rPr>
                <w:rFonts w:ascii="Times New Roman" w:hAnsi="Times New Roman"/>
                <w:color w:val="000000"/>
                <w:sz w:val="22"/>
              </w:rPr>
              <w:t>Monitoring Visit Reports</w:t>
            </w:r>
          </w:p>
        </w:tc>
        <w:tc>
          <w:tcPr>
            <w:tcW w:w="15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220"/>
              <w:jc w:val="both"/>
              <w:rPr>
                <w:rFonts w:ascii="Times New Roman" w:hAnsi="Times New Roman"/>
                <w:color w:val="000000"/>
                <w:sz w:val="22"/>
              </w:rPr>
            </w:pPr>
            <w:r>
              <w:rPr>
                <w:rFonts w:ascii="Times New Roman" w:hAnsi="Times New Roman"/>
                <w:color w:val="000000"/>
                <w:sz w:val="22"/>
              </w:rPr>
              <w:t>X</w:t>
            </w:r>
          </w:p>
        </w:tc>
        <w:tc>
          <w:tcPr>
            <w:tcW w:w="155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220" w:right="0" w:firstLine="220"/>
              <w:jc w:val="both"/>
              <w:rPr/>
            </w:pPr>
            <w:r>
              <w:rPr/>
              <w:t> </w:t>
            </w:r>
          </w:p>
        </w:tc>
      </w:tr>
    </w:tbl>
    <w:p>
      <w:pPr>
        <w:pStyle w:val="TextBody"/>
        <w:bidi w:val="0"/>
        <w:jc w:val="center"/>
        <w:rPr>
          <w:rFonts w:ascii="Times New Roman" w:hAnsi="Times New Roman"/>
          <w:color w:val="000000"/>
          <w:sz w:val="22"/>
        </w:rPr>
      </w:pPr>
      <w:r>
        <w:rPr>
          <w:rFonts w:ascii="Times New Roman" w:hAnsi="Times New Roman"/>
          <w:color w:val="000000"/>
          <w:sz w:val="22"/>
        </w:rPr>
        <w:t>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tbl>
      <w:tblPr>
        <w:tblW w:w="10205" w:type="dxa"/>
        <w:jc w:val="left"/>
        <w:tblInd w:w="0" w:type="dxa"/>
        <w:tblLayout w:type="fixed"/>
        <w:tblCellMar>
          <w:top w:w="28" w:type="dxa"/>
          <w:left w:w="28" w:type="dxa"/>
          <w:bottom w:w="28" w:type="dxa"/>
          <w:right w:w="28" w:type="dxa"/>
        </w:tblCellMar>
      </w:tblPr>
      <w:tblGrid>
        <w:gridCol w:w="7675"/>
        <w:gridCol w:w="1196"/>
        <w:gridCol w:w="1334"/>
      </w:tblGrid>
      <w:tr>
        <w:trPr/>
        <w:tc>
          <w:tcPr>
            <w:tcW w:w="7675" w:type="dxa"/>
            <w:tcBorders/>
            <w:shd w:fill="FFFFFF" w:val="clear"/>
            <w:vAlign w:val="center"/>
          </w:tcPr>
          <w:p>
            <w:pPr>
              <w:pStyle w:val="TableContents"/>
              <w:bidi w:val="0"/>
              <w:spacing w:before="0" w:after="283"/>
              <w:jc w:val="left"/>
              <w:rPr>
                <w:sz w:val="4"/>
                <w:szCs w:val="4"/>
              </w:rPr>
            </w:pPr>
            <w:r>
              <w:rPr>
                <w:sz w:val="4"/>
                <w:szCs w:val="4"/>
              </w:rPr>
            </w:r>
          </w:p>
        </w:tc>
        <w:tc>
          <w:tcPr>
            <w:tcW w:w="1196" w:type="dxa"/>
            <w:tcBorders/>
            <w:shd w:fill="FFFFFF" w:val="clear"/>
            <w:vAlign w:val="center"/>
          </w:tcPr>
          <w:p>
            <w:pPr>
              <w:pStyle w:val="TableContents"/>
              <w:bidi w:val="0"/>
              <w:spacing w:before="0" w:after="283"/>
              <w:jc w:val="left"/>
              <w:rPr>
                <w:sz w:val="4"/>
                <w:szCs w:val="4"/>
              </w:rPr>
            </w:pPr>
            <w:r>
              <w:rPr>
                <w:sz w:val="4"/>
                <w:szCs w:val="4"/>
              </w:rPr>
            </w:r>
          </w:p>
        </w:tc>
        <w:tc>
          <w:tcPr>
            <w:tcW w:w="1334" w:type="dxa"/>
            <w:tcBorders/>
            <w:shd w:fill="FFFFFF" w:val="clear"/>
            <w:vAlign w:val="center"/>
          </w:tcPr>
          <w:p>
            <w:pPr>
              <w:pStyle w:val="TableContents"/>
              <w:bidi w:val="0"/>
              <w:spacing w:before="0" w:after="283"/>
              <w:ind w:left="0" w:right="0" w:firstLine="220"/>
              <w:jc w:val="left"/>
              <w:rPr>
                <w:sz w:val="4"/>
                <w:szCs w:val="4"/>
              </w:rPr>
            </w:pPr>
            <w:r>
              <w:rPr>
                <w:sz w:val="4"/>
                <w:szCs w:val="4"/>
              </w:rPr>
            </w:r>
          </w:p>
        </w:tc>
      </w:tr>
      <w:tr>
        <w:trPr/>
        <w:tc>
          <w:tcPr>
            <w:tcW w:w="7675" w:type="dxa"/>
            <w:tcBorders>
              <w:top w:val="single" w:sz="4" w:space="0" w:color="000000"/>
              <w:left w:val="single" w:sz="4" w:space="0" w:color="000000"/>
              <w:bottom w:val="single" w:sz="4" w:space="0" w:color="000000"/>
              <w:right w:val="single" w:sz="4" w:space="0" w:color="000000"/>
            </w:tcBorders>
            <w:shd w:fill="BDD6EE" w:val="clear"/>
            <w:tcMar>
              <w:left w:w="108" w:type="dxa"/>
              <w:right w:w="108" w:type="dxa"/>
            </w:tcMar>
            <w:vAlign w:val="center"/>
          </w:tcPr>
          <w:p>
            <w:pPr>
              <w:pStyle w:val="TableContents"/>
              <w:bidi w:val="0"/>
              <w:spacing w:before="0" w:after="283"/>
              <w:ind w:left="0" w:right="0" w:firstLine="220"/>
              <w:jc w:val="both"/>
              <w:rPr>
                <w:rFonts w:ascii="Times New Roman" w:hAnsi="Times New Roman"/>
                <w:b/>
                <w:color w:val="000000"/>
                <w:sz w:val="22"/>
              </w:rPr>
            </w:pPr>
            <w:r>
              <w:rPr>
                <w:rFonts w:ascii="Times New Roman" w:hAnsi="Times New Roman"/>
                <w:b/>
                <w:color w:val="000000"/>
                <w:sz w:val="22"/>
              </w:rPr>
              <w:t>Document</w:t>
            </w:r>
          </w:p>
        </w:tc>
        <w:tc>
          <w:tcPr>
            <w:tcW w:w="1196" w:type="dxa"/>
            <w:tcBorders>
              <w:top w:val="single" w:sz="4" w:space="0" w:color="000000"/>
              <w:bottom w:val="single" w:sz="4" w:space="0" w:color="000000"/>
              <w:right w:val="single" w:sz="4" w:space="0" w:color="000000"/>
            </w:tcBorders>
            <w:shd w:fill="BDD6EE" w:val="clear"/>
            <w:tcMar>
              <w:left w:w="0" w:type="dxa"/>
              <w:right w:w="108" w:type="dxa"/>
            </w:tcMar>
            <w:vAlign w:val="center"/>
          </w:tcPr>
          <w:p>
            <w:pPr>
              <w:pStyle w:val="TableContents"/>
              <w:bidi w:val="0"/>
              <w:spacing w:before="0" w:after="283"/>
              <w:ind w:left="0" w:right="0" w:firstLine="220"/>
              <w:jc w:val="both"/>
              <w:rPr>
                <w:rFonts w:ascii="Times New Roman" w:hAnsi="Times New Roman"/>
                <w:b/>
                <w:color w:val="000000"/>
                <w:sz w:val="22"/>
              </w:rPr>
            </w:pPr>
            <w:r>
              <w:rPr>
                <w:rFonts w:ascii="Times New Roman" w:hAnsi="Times New Roman"/>
                <w:b/>
                <w:color w:val="000000"/>
                <w:sz w:val="22"/>
              </w:rPr>
              <w:t>JPN-Ph1</w:t>
              <w:br/>
              <w:t>(I101)</w:t>
            </w:r>
          </w:p>
        </w:tc>
        <w:tc>
          <w:tcPr>
            <w:tcW w:w="1334" w:type="dxa"/>
            <w:tcBorders>
              <w:top w:val="single" w:sz="4" w:space="0" w:color="000000"/>
              <w:bottom w:val="single" w:sz="4" w:space="0" w:color="000000"/>
              <w:right w:val="single" w:sz="4" w:space="0" w:color="000000"/>
            </w:tcBorders>
            <w:shd w:fill="BDD6EE" w:val="clear"/>
            <w:tcMar>
              <w:left w:w="0" w:type="dxa"/>
              <w:right w:w="108" w:type="dxa"/>
            </w:tcMar>
            <w:vAlign w:val="center"/>
          </w:tcPr>
          <w:p>
            <w:pPr>
              <w:pStyle w:val="TableContents"/>
              <w:bidi w:val="0"/>
              <w:spacing w:before="0" w:after="283"/>
              <w:ind w:left="0" w:right="0" w:firstLine="220"/>
              <w:jc w:val="both"/>
              <w:rPr>
                <w:rFonts w:ascii="Times New Roman" w:hAnsi="Times New Roman"/>
                <w:b/>
                <w:color w:val="000000"/>
                <w:sz w:val="22"/>
              </w:rPr>
            </w:pPr>
            <w:r>
              <w:rPr>
                <w:rFonts w:ascii="Times New Roman" w:hAnsi="Times New Roman"/>
                <w:b/>
                <w:color w:val="000000"/>
                <w:sz w:val="22"/>
              </w:rPr>
              <w:t>Ph3 MRCT*</w:t>
              <w:br/>
              <w:t>(C004)</w:t>
            </w:r>
          </w:p>
        </w:tc>
      </w:tr>
      <w:tr>
        <w:trPr/>
        <w:tc>
          <w:tcPr>
            <w:tcW w:w="767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ind w:left="220" w:right="0" w:firstLine="220"/>
              <w:jc w:val="both"/>
              <w:rPr>
                <w:rFonts w:ascii="Times New Roman" w:hAnsi="Times New Roman"/>
                <w:color w:val="000000"/>
                <w:sz w:val="22"/>
              </w:rPr>
            </w:pPr>
            <w:r>
              <w:rPr>
                <w:rFonts w:ascii="Times New Roman" w:hAnsi="Times New Roman"/>
                <w:color w:val="000000"/>
                <w:sz w:val="22"/>
              </w:rPr>
              <w:t>Relevant Communications other than Site Visits</w:t>
            </w:r>
          </w:p>
          <w:p>
            <w:pPr>
              <w:pStyle w:val="TableContents"/>
              <w:bidi w:val="0"/>
              <w:ind w:left="220" w:right="0" w:firstLine="220"/>
              <w:jc w:val="both"/>
              <w:rPr>
                <w:rFonts w:ascii="Times New Roman" w:hAnsi="Times New Roman"/>
                <w:color w:val="000000"/>
                <w:sz w:val="22"/>
              </w:rPr>
            </w:pPr>
            <w:r>
              <w:rPr>
                <w:rFonts w:ascii="Times New Roman" w:hAnsi="Times New Roman"/>
                <w:color w:val="000000"/>
                <w:sz w:val="22"/>
              </w:rPr>
              <w:t>- Letters</w:t>
            </w:r>
          </w:p>
          <w:p>
            <w:pPr>
              <w:pStyle w:val="TableContents"/>
              <w:bidi w:val="0"/>
              <w:ind w:left="220" w:right="0" w:firstLine="220"/>
              <w:jc w:val="both"/>
              <w:rPr>
                <w:rFonts w:ascii="Times New Roman" w:hAnsi="Times New Roman"/>
                <w:color w:val="000000"/>
                <w:sz w:val="22"/>
              </w:rPr>
            </w:pPr>
            <w:r>
              <w:rPr>
                <w:rFonts w:ascii="Times New Roman" w:hAnsi="Times New Roman"/>
                <w:color w:val="000000"/>
                <w:sz w:val="22"/>
              </w:rPr>
              <w:t>- Meeting notes</w:t>
            </w:r>
          </w:p>
          <w:p>
            <w:pPr>
              <w:pStyle w:val="TableContents"/>
              <w:bidi w:val="0"/>
              <w:spacing w:before="0" w:after="283"/>
              <w:ind w:left="0" w:right="0" w:firstLine="220"/>
              <w:jc w:val="both"/>
              <w:rPr>
                <w:rFonts w:ascii="Times New Roman" w:hAnsi="Times New Roman"/>
                <w:color w:val="000000"/>
                <w:sz w:val="22"/>
              </w:rPr>
            </w:pPr>
            <w:r>
              <w:rPr>
                <w:rFonts w:ascii="Times New Roman" w:hAnsi="Times New Roman"/>
                <w:color w:val="000000"/>
                <w:sz w:val="22"/>
              </w:rPr>
              <w:t>- Notes of telephone calls</w:t>
            </w:r>
          </w:p>
        </w:tc>
        <w:tc>
          <w:tcPr>
            <w:tcW w:w="119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220"/>
              <w:jc w:val="both"/>
              <w:rPr>
                <w:rFonts w:ascii="Times New Roman" w:hAnsi="Times New Roman"/>
                <w:color w:val="000000"/>
                <w:sz w:val="22"/>
              </w:rPr>
            </w:pPr>
            <w:r>
              <w:rPr>
                <w:rFonts w:ascii="Times New Roman" w:hAnsi="Times New Roman"/>
                <w:color w:val="000000"/>
                <w:sz w:val="22"/>
              </w:rPr>
              <w:t>X</w:t>
            </w:r>
          </w:p>
        </w:tc>
        <w:tc>
          <w:tcPr>
            <w:tcW w:w="133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220"/>
              <w:jc w:val="both"/>
              <w:rPr/>
            </w:pPr>
            <w:r>
              <w:rPr/>
              <w:t> </w:t>
            </w:r>
          </w:p>
        </w:tc>
      </w:tr>
      <w:tr>
        <w:trPr/>
        <w:tc>
          <w:tcPr>
            <w:tcW w:w="767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ind w:left="0" w:right="0" w:firstLine="220"/>
              <w:jc w:val="both"/>
              <w:rPr>
                <w:rFonts w:ascii="Times New Roman" w:hAnsi="Times New Roman"/>
                <w:color w:val="000000"/>
                <w:sz w:val="22"/>
              </w:rPr>
            </w:pPr>
            <w:r>
              <w:rPr>
                <w:rFonts w:ascii="Times New Roman" w:hAnsi="Times New Roman"/>
                <w:color w:val="000000"/>
                <w:sz w:val="22"/>
              </w:rPr>
              <w:t>Signed, Dated and Completed Case Report forms (CRF)</w:t>
            </w:r>
          </w:p>
        </w:tc>
        <w:tc>
          <w:tcPr>
            <w:tcW w:w="119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220"/>
              <w:jc w:val="both"/>
              <w:rPr>
                <w:rFonts w:ascii="Times New Roman" w:hAnsi="Times New Roman"/>
                <w:color w:val="000000"/>
                <w:sz w:val="22"/>
              </w:rPr>
            </w:pPr>
            <w:r>
              <w:rPr>
                <w:rFonts w:ascii="Times New Roman" w:hAnsi="Times New Roman"/>
                <w:color w:val="000000"/>
                <w:sz w:val="22"/>
              </w:rPr>
              <w:t>X</w:t>
            </w:r>
          </w:p>
        </w:tc>
        <w:tc>
          <w:tcPr>
            <w:tcW w:w="133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220"/>
              <w:jc w:val="both"/>
              <w:rPr/>
            </w:pPr>
            <w:r>
              <w:rPr/>
              <w:t> </w:t>
            </w:r>
          </w:p>
        </w:tc>
      </w:tr>
      <w:tr>
        <w:trPr/>
        <w:tc>
          <w:tcPr>
            <w:tcW w:w="767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ind w:left="0" w:right="0" w:firstLine="220"/>
              <w:jc w:val="both"/>
              <w:rPr>
                <w:rFonts w:ascii="Times New Roman" w:hAnsi="Times New Roman"/>
                <w:color w:val="000000"/>
                <w:sz w:val="22"/>
              </w:rPr>
            </w:pPr>
            <w:r>
              <w:rPr>
                <w:rFonts w:ascii="Times New Roman" w:hAnsi="Times New Roman"/>
                <w:color w:val="000000"/>
                <w:sz w:val="22"/>
              </w:rPr>
              <w:t>Documentation of CRF Corrections</w:t>
            </w:r>
          </w:p>
        </w:tc>
        <w:tc>
          <w:tcPr>
            <w:tcW w:w="119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220"/>
              <w:jc w:val="both"/>
              <w:rPr>
                <w:rFonts w:ascii="Times New Roman" w:hAnsi="Times New Roman"/>
                <w:color w:val="000000"/>
                <w:sz w:val="22"/>
              </w:rPr>
            </w:pPr>
            <w:r>
              <w:rPr>
                <w:rFonts w:ascii="Times New Roman" w:hAnsi="Times New Roman"/>
                <w:color w:val="000000"/>
                <w:sz w:val="22"/>
              </w:rPr>
              <w:t>X</w:t>
            </w:r>
          </w:p>
        </w:tc>
        <w:tc>
          <w:tcPr>
            <w:tcW w:w="133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220"/>
              <w:jc w:val="both"/>
              <w:rPr/>
            </w:pPr>
            <w:r>
              <w:rPr/>
              <w:t> </w:t>
            </w:r>
          </w:p>
        </w:tc>
      </w:tr>
      <w:tr>
        <w:trPr/>
        <w:tc>
          <w:tcPr>
            <w:tcW w:w="767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ind w:left="0" w:right="0" w:firstLine="220"/>
              <w:jc w:val="both"/>
              <w:rPr>
                <w:rFonts w:ascii="Times New Roman" w:hAnsi="Times New Roman"/>
                <w:color w:val="000000"/>
                <w:sz w:val="22"/>
              </w:rPr>
            </w:pPr>
            <w:r>
              <w:rPr>
                <w:rFonts w:ascii="Times New Roman" w:hAnsi="Times New Roman"/>
                <w:color w:val="000000"/>
                <w:sz w:val="22"/>
              </w:rPr>
              <w:t>Notification by originating Investigator to Sponsor of Serious Adverse Events and Related Reports</w:t>
            </w:r>
          </w:p>
        </w:tc>
        <w:tc>
          <w:tcPr>
            <w:tcW w:w="119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220"/>
              <w:jc w:val="both"/>
              <w:rPr>
                <w:rFonts w:ascii="Times New Roman" w:hAnsi="Times New Roman"/>
                <w:color w:val="000000"/>
                <w:sz w:val="22"/>
              </w:rPr>
            </w:pPr>
            <w:r>
              <w:rPr>
                <w:rFonts w:ascii="Times New Roman" w:hAnsi="Times New Roman"/>
                <w:color w:val="000000"/>
                <w:sz w:val="22"/>
              </w:rPr>
              <w:t>NA</w:t>
            </w:r>
          </w:p>
        </w:tc>
        <w:tc>
          <w:tcPr>
            <w:tcW w:w="133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220"/>
              <w:jc w:val="both"/>
              <w:rPr/>
            </w:pPr>
            <w:r>
              <w:rPr/>
              <w:t> </w:t>
            </w:r>
          </w:p>
        </w:tc>
      </w:tr>
      <w:tr>
        <w:trPr/>
        <w:tc>
          <w:tcPr>
            <w:tcW w:w="767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ind w:left="0" w:right="0" w:firstLine="220"/>
              <w:jc w:val="both"/>
              <w:rPr>
                <w:rFonts w:ascii="Times New Roman" w:hAnsi="Times New Roman"/>
                <w:color w:val="000000"/>
                <w:sz w:val="22"/>
              </w:rPr>
            </w:pPr>
            <w:r>
              <w:rPr>
                <w:rFonts w:ascii="Times New Roman" w:hAnsi="Times New Roman"/>
                <w:color w:val="000000"/>
                <w:sz w:val="22"/>
              </w:rPr>
              <w:t>Notification by Sponsor and/or Investigator, Where Applicable, to Regulatory Authority(ies) and IRB(s)/IEC(s) of Unexpected Serious Adverse Drug Reactions and of Other Safety Information</w:t>
            </w:r>
          </w:p>
        </w:tc>
        <w:tc>
          <w:tcPr>
            <w:tcW w:w="119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220"/>
              <w:jc w:val="both"/>
              <w:rPr>
                <w:rFonts w:ascii="Times New Roman" w:hAnsi="Times New Roman"/>
                <w:color w:val="000000"/>
                <w:sz w:val="22"/>
              </w:rPr>
            </w:pPr>
            <w:r>
              <w:rPr>
                <w:rFonts w:ascii="Times New Roman" w:hAnsi="Times New Roman"/>
                <w:color w:val="000000"/>
                <w:sz w:val="22"/>
              </w:rPr>
              <w:t>X</w:t>
            </w:r>
          </w:p>
        </w:tc>
        <w:tc>
          <w:tcPr>
            <w:tcW w:w="133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220"/>
              <w:jc w:val="both"/>
              <w:rPr/>
            </w:pPr>
            <w:r>
              <w:rPr/>
              <w:t> </w:t>
            </w:r>
          </w:p>
        </w:tc>
      </w:tr>
      <w:tr>
        <w:trPr/>
        <w:tc>
          <w:tcPr>
            <w:tcW w:w="767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ind w:left="0" w:right="0" w:firstLine="220"/>
              <w:jc w:val="both"/>
              <w:rPr>
                <w:rFonts w:ascii="Times New Roman" w:hAnsi="Times New Roman"/>
                <w:color w:val="000000"/>
                <w:sz w:val="22"/>
              </w:rPr>
            </w:pPr>
            <w:r>
              <w:rPr>
                <w:rFonts w:ascii="Times New Roman" w:hAnsi="Times New Roman"/>
                <w:color w:val="000000"/>
                <w:sz w:val="22"/>
              </w:rPr>
              <w:t>Notification by Sponsor to Investigators of Safety Information</w:t>
            </w:r>
          </w:p>
        </w:tc>
        <w:tc>
          <w:tcPr>
            <w:tcW w:w="119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220"/>
              <w:jc w:val="both"/>
              <w:rPr>
                <w:rFonts w:ascii="Times New Roman" w:hAnsi="Times New Roman"/>
                <w:color w:val="000000"/>
                <w:sz w:val="22"/>
              </w:rPr>
            </w:pPr>
            <w:r>
              <w:rPr>
                <w:rFonts w:ascii="Times New Roman" w:hAnsi="Times New Roman"/>
                <w:color w:val="000000"/>
                <w:sz w:val="22"/>
              </w:rPr>
              <w:t>X</w:t>
            </w:r>
          </w:p>
        </w:tc>
        <w:tc>
          <w:tcPr>
            <w:tcW w:w="133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220"/>
              <w:jc w:val="both"/>
              <w:rPr/>
            </w:pPr>
            <w:r>
              <w:rPr/>
              <w:t> </w:t>
            </w:r>
          </w:p>
        </w:tc>
      </w:tr>
      <w:tr>
        <w:trPr/>
        <w:tc>
          <w:tcPr>
            <w:tcW w:w="767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ind w:left="0" w:right="0" w:firstLine="220"/>
              <w:jc w:val="both"/>
              <w:rPr>
                <w:rFonts w:ascii="Times New Roman" w:hAnsi="Times New Roman"/>
                <w:color w:val="000000"/>
                <w:sz w:val="22"/>
              </w:rPr>
            </w:pPr>
            <w:r>
              <w:rPr>
                <w:rFonts w:ascii="Times New Roman" w:hAnsi="Times New Roman"/>
                <w:color w:val="000000"/>
                <w:sz w:val="22"/>
              </w:rPr>
              <w:t>Interim or Annual Reports to IRB/IEC and Authority(ies)</w:t>
            </w:r>
          </w:p>
        </w:tc>
        <w:tc>
          <w:tcPr>
            <w:tcW w:w="119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220"/>
              <w:jc w:val="both"/>
              <w:rPr>
                <w:rFonts w:ascii="Times New Roman" w:hAnsi="Times New Roman"/>
                <w:color w:val="000000"/>
                <w:sz w:val="22"/>
              </w:rPr>
            </w:pPr>
            <w:r>
              <w:rPr>
                <w:rFonts w:ascii="Times New Roman" w:hAnsi="Times New Roman"/>
                <w:color w:val="000000"/>
                <w:sz w:val="22"/>
              </w:rPr>
              <w:t>X</w:t>
            </w:r>
          </w:p>
        </w:tc>
        <w:tc>
          <w:tcPr>
            <w:tcW w:w="133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220"/>
              <w:jc w:val="both"/>
              <w:rPr/>
            </w:pPr>
            <w:r>
              <w:rPr/>
              <w:t> </w:t>
            </w:r>
          </w:p>
        </w:tc>
      </w:tr>
      <w:tr>
        <w:trPr/>
        <w:tc>
          <w:tcPr>
            <w:tcW w:w="767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ind w:left="0" w:right="0" w:firstLine="220"/>
              <w:jc w:val="both"/>
              <w:rPr>
                <w:rFonts w:ascii="Times New Roman" w:hAnsi="Times New Roman"/>
                <w:color w:val="000000"/>
                <w:sz w:val="22"/>
              </w:rPr>
            </w:pPr>
            <w:r>
              <w:rPr>
                <w:rFonts w:ascii="Times New Roman" w:hAnsi="Times New Roman"/>
                <w:color w:val="000000"/>
                <w:sz w:val="22"/>
              </w:rPr>
              <w:t>Subject Screening Log</w:t>
            </w:r>
          </w:p>
        </w:tc>
        <w:tc>
          <w:tcPr>
            <w:tcW w:w="119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220"/>
              <w:jc w:val="both"/>
              <w:rPr>
                <w:rFonts w:ascii="Times New Roman" w:hAnsi="Times New Roman"/>
                <w:color w:val="000000"/>
                <w:sz w:val="22"/>
              </w:rPr>
            </w:pPr>
            <w:r>
              <w:rPr>
                <w:rFonts w:ascii="Times New Roman" w:hAnsi="Times New Roman"/>
                <w:color w:val="000000"/>
                <w:sz w:val="22"/>
              </w:rPr>
              <w:t>NA</w:t>
            </w:r>
          </w:p>
        </w:tc>
        <w:tc>
          <w:tcPr>
            <w:tcW w:w="133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220"/>
              <w:jc w:val="both"/>
              <w:rPr/>
            </w:pPr>
            <w:r>
              <w:rPr/>
              <w:t> </w:t>
            </w:r>
          </w:p>
        </w:tc>
      </w:tr>
      <w:tr>
        <w:trPr/>
        <w:tc>
          <w:tcPr>
            <w:tcW w:w="767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ind w:left="0" w:right="0" w:firstLine="220"/>
              <w:jc w:val="both"/>
              <w:rPr>
                <w:rFonts w:ascii="Times New Roman" w:hAnsi="Times New Roman"/>
                <w:color w:val="000000"/>
                <w:sz w:val="22"/>
              </w:rPr>
            </w:pPr>
            <w:r>
              <w:rPr>
                <w:rFonts w:ascii="Times New Roman" w:hAnsi="Times New Roman"/>
                <w:color w:val="000000"/>
                <w:sz w:val="22"/>
              </w:rPr>
              <w:t>Investigational Products Accountability at the Site</w:t>
            </w:r>
          </w:p>
        </w:tc>
        <w:tc>
          <w:tcPr>
            <w:tcW w:w="119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220"/>
              <w:jc w:val="both"/>
              <w:rPr>
                <w:rFonts w:ascii="Times New Roman" w:hAnsi="Times New Roman"/>
                <w:color w:val="000000"/>
                <w:sz w:val="22"/>
              </w:rPr>
            </w:pPr>
            <w:r>
              <w:rPr>
                <w:rFonts w:ascii="Times New Roman" w:hAnsi="Times New Roman"/>
                <w:color w:val="000000"/>
                <w:sz w:val="22"/>
              </w:rPr>
              <w:t>X</w:t>
            </w:r>
          </w:p>
        </w:tc>
        <w:tc>
          <w:tcPr>
            <w:tcW w:w="133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220"/>
              <w:jc w:val="both"/>
              <w:rPr/>
            </w:pPr>
            <w:r>
              <w:rPr/>
              <w:t> </w:t>
            </w:r>
          </w:p>
        </w:tc>
      </w:tr>
      <w:tr>
        <w:trPr/>
        <w:tc>
          <w:tcPr>
            <w:tcW w:w="767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ind w:left="0" w:right="0" w:firstLine="220"/>
              <w:jc w:val="both"/>
              <w:rPr>
                <w:rFonts w:ascii="Times New Roman" w:hAnsi="Times New Roman"/>
                <w:color w:val="000000"/>
                <w:sz w:val="22"/>
              </w:rPr>
            </w:pPr>
            <w:r>
              <w:rPr>
                <w:rFonts w:ascii="Times New Roman" w:hAnsi="Times New Roman"/>
                <w:color w:val="000000"/>
                <w:sz w:val="22"/>
              </w:rPr>
              <w:t>Signature Sheet</w:t>
            </w:r>
          </w:p>
        </w:tc>
        <w:tc>
          <w:tcPr>
            <w:tcW w:w="119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220"/>
              <w:jc w:val="both"/>
              <w:rPr>
                <w:rFonts w:ascii="Times New Roman" w:hAnsi="Times New Roman"/>
                <w:color w:val="000000"/>
                <w:sz w:val="22"/>
              </w:rPr>
            </w:pPr>
            <w:r>
              <w:rPr>
                <w:rFonts w:ascii="Times New Roman" w:hAnsi="Times New Roman"/>
                <w:color w:val="000000"/>
                <w:sz w:val="22"/>
              </w:rPr>
              <w:t>NA</w:t>
            </w:r>
          </w:p>
        </w:tc>
        <w:tc>
          <w:tcPr>
            <w:tcW w:w="133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220"/>
              <w:jc w:val="both"/>
              <w:rPr/>
            </w:pPr>
            <w:r>
              <w:rPr/>
              <w:t> </w:t>
            </w:r>
          </w:p>
        </w:tc>
      </w:tr>
      <w:tr>
        <w:trPr/>
        <w:tc>
          <w:tcPr>
            <w:tcW w:w="767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ind w:left="0" w:right="0" w:firstLine="220"/>
              <w:jc w:val="both"/>
              <w:rPr>
                <w:rFonts w:ascii="Times New Roman" w:hAnsi="Times New Roman"/>
                <w:color w:val="000000"/>
                <w:sz w:val="22"/>
              </w:rPr>
            </w:pPr>
            <w:r>
              <w:rPr>
                <w:rFonts w:ascii="Times New Roman" w:hAnsi="Times New Roman"/>
                <w:color w:val="000000"/>
                <w:sz w:val="22"/>
              </w:rPr>
              <w:t xml:space="preserve">Record of Retained Body Fluids/ Tissue Samples (if Any) </w:t>
            </w:r>
          </w:p>
        </w:tc>
        <w:tc>
          <w:tcPr>
            <w:tcW w:w="119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220"/>
              <w:jc w:val="both"/>
              <w:rPr>
                <w:rFonts w:ascii="Times New Roman" w:hAnsi="Times New Roman"/>
                <w:color w:val="000000"/>
                <w:sz w:val="22"/>
              </w:rPr>
            </w:pPr>
            <w:r>
              <w:rPr>
                <w:rFonts w:ascii="Times New Roman" w:hAnsi="Times New Roman"/>
                <w:color w:val="000000"/>
                <w:sz w:val="22"/>
              </w:rPr>
              <w:t>NA</w:t>
            </w:r>
          </w:p>
        </w:tc>
        <w:tc>
          <w:tcPr>
            <w:tcW w:w="133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220"/>
              <w:jc w:val="both"/>
              <w:rPr/>
            </w:pPr>
            <w:r>
              <w:rPr/>
              <w:t> </w:t>
            </w:r>
          </w:p>
        </w:tc>
      </w:tr>
      <w:tr>
        <w:trPr/>
        <w:tc>
          <w:tcPr>
            <w:tcW w:w="767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ind w:left="0" w:right="0" w:firstLine="220"/>
              <w:jc w:val="both"/>
              <w:rPr>
                <w:rFonts w:ascii="Times New Roman" w:hAnsi="Times New Roman"/>
                <w:b/>
                <w:color w:val="000000"/>
                <w:sz w:val="22"/>
              </w:rPr>
            </w:pPr>
            <w:r>
              <w:rPr>
                <w:rFonts w:ascii="Times New Roman" w:hAnsi="Times New Roman"/>
                <w:b/>
                <w:color w:val="000000"/>
                <w:sz w:val="22"/>
              </w:rPr>
              <w:t>After Completion or Termination of the Trial</w:t>
            </w:r>
          </w:p>
        </w:tc>
        <w:tc>
          <w:tcPr>
            <w:tcW w:w="119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220"/>
              <w:jc w:val="left"/>
              <w:rPr>
                <w:sz w:val="4"/>
                <w:szCs w:val="4"/>
              </w:rPr>
            </w:pPr>
            <w:r>
              <w:rPr>
                <w:sz w:val="4"/>
                <w:szCs w:val="4"/>
              </w:rPr>
            </w:r>
          </w:p>
        </w:tc>
        <w:tc>
          <w:tcPr>
            <w:tcW w:w="133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220"/>
              <w:jc w:val="left"/>
              <w:rPr>
                <w:sz w:val="4"/>
                <w:szCs w:val="4"/>
              </w:rPr>
            </w:pPr>
            <w:r>
              <w:rPr>
                <w:sz w:val="4"/>
                <w:szCs w:val="4"/>
              </w:rPr>
            </w:r>
          </w:p>
        </w:tc>
      </w:tr>
      <w:tr>
        <w:trPr/>
        <w:tc>
          <w:tcPr>
            <w:tcW w:w="767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ind w:left="0" w:right="0" w:firstLine="220"/>
              <w:jc w:val="both"/>
              <w:rPr>
                <w:rFonts w:ascii="Times New Roman" w:hAnsi="Times New Roman"/>
                <w:color w:val="000000"/>
                <w:sz w:val="22"/>
              </w:rPr>
            </w:pPr>
            <w:r>
              <w:rPr>
                <w:rFonts w:ascii="Times New Roman" w:hAnsi="Times New Roman"/>
                <w:color w:val="000000"/>
                <w:sz w:val="22"/>
              </w:rPr>
              <w:t>Investigational Product(s) Accountability at Site</w:t>
            </w:r>
          </w:p>
        </w:tc>
        <w:tc>
          <w:tcPr>
            <w:tcW w:w="119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220"/>
              <w:jc w:val="both"/>
              <w:rPr>
                <w:rFonts w:ascii="Times New Roman" w:hAnsi="Times New Roman"/>
                <w:color w:val="000000"/>
                <w:sz w:val="22"/>
              </w:rPr>
            </w:pPr>
            <w:r>
              <w:rPr>
                <w:rFonts w:ascii="Times New Roman" w:hAnsi="Times New Roman"/>
                <w:color w:val="000000"/>
                <w:sz w:val="22"/>
              </w:rPr>
              <w:t>X</w:t>
            </w:r>
          </w:p>
        </w:tc>
        <w:tc>
          <w:tcPr>
            <w:tcW w:w="133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220"/>
              <w:jc w:val="both"/>
              <w:rPr/>
            </w:pPr>
            <w:r>
              <w:rPr/>
              <w:t> </w:t>
            </w:r>
          </w:p>
        </w:tc>
      </w:tr>
      <w:tr>
        <w:trPr/>
        <w:tc>
          <w:tcPr>
            <w:tcW w:w="767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ind w:left="0" w:right="0" w:firstLine="220"/>
              <w:jc w:val="both"/>
              <w:rPr>
                <w:rFonts w:ascii="Times New Roman" w:hAnsi="Times New Roman"/>
                <w:color w:val="000000"/>
                <w:sz w:val="22"/>
              </w:rPr>
            </w:pPr>
            <w:r>
              <w:rPr>
                <w:rFonts w:ascii="Times New Roman" w:hAnsi="Times New Roman"/>
                <w:color w:val="000000"/>
                <w:sz w:val="22"/>
              </w:rPr>
              <w:t>Documentation of Investigational Product Destruction</w:t>
            </w:r>
          </w:p>
        </w:tc>
        <w:tc>
          <w:tcPr>
            <w:tcW w:w="119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220"/>
              <w:jc w:val="both"/>
              <w:rPr>
                <w:rFonts w:ascii="Times New Roman" w:hAnsi="Times New Roman"/>
                <w:color w:val="000000"/>
                <w:sz w:val="22"/>
              </w:rPr>
            </w:pPr>
            <w:r>
              <w:rPr>
                <w:rFonts w:ascii="Times New Roman" w:hAnsi="Times New Roman"/>
                <w:color w:val="000000"/>
                <w:sz w:val="22"/>
              </w:rPr>
              <w:t>X</w:t>
            </w:r>
          </w:p>
        </w:tc>
        <w:tc>
          <w:tcPr>
            <w:tcW w:w="133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220"/>
              <w:jc w:val="both"/>
              <w:rPr/>
            </w:pPr>
            <w:r>
              <w:rPr/>
              <w:t> </w:t>
            </w:r>
          </w:p>
        </w:tc>
      </w:tr>
      <w:tr>
        <w:trPr/>
        <w:tc>
          <w:tcPr>
            <w:tcW w:w="767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ind w:left="0" w:right="0" w:firstLine="220"/>
              <w:jc w:val="both"/>
              <w:rPr>
                <w:rFonts w:ascii="Times New Roman" w:hAnsi="Times New Roman"/>
                <w:color w:val="000000"/>
                <w:sz w:val="22"/>
              </w:rPr>
            </w:pPr>
            <w:r>
              <w:rPr>
                <w:rFonts w:ascii="Times New Roman" w:hAnsi="Times New Roman"/>
                <w:color w:val="000000"/>
                <w:sz w:val="22"/>
              </w:rPr>
              <w:t>Audit Certificate (if available)</w:t>
            </w:r>
          </w:p>
        </w:tc>
        <w:tc>
          <w:tcPr>
            <w:tcW w:w="119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220"/>
              <w:jc w:val="both"/>
              <w:rPr>
                <w:rFonts w:ascii="Times New Roman" w:hAnsi="Times New Roman"/>
                <w:color w:val="000000"/>
                <w:sz w:val="22"/>
              </w:rPr>
            </w:pPr>
            <w:r>
              <w:rPr>
                <w:rFonts w:ascii="Times New Roman" w:hAnsi="Times New Roman"/>
                <w:color w:val="000000"/>
                <w:sz w:val="22"/>
              </w:rPr>
              <w:t>X</w:t>
            </w:r>
          </w:p>
        </w:tc>
        <w:tc>
          <w:tcPr>
            <w:tcW w:w="133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220"/>
              <w:jc w:val="both"/>
              <w:rPr/>
            </w:pPr>
            <w:r>
              <w:rPr/>
              <w:t> </w:t>
            </w:r>
          </w:p>
        </w:tc>
      </w:tr>
      <w:tr>
        <w:trPr/>
        <w:tc>
          <w:tcPr>
            <w:tcW w:w="767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ind w:left="0" w:right="0" w:firstLine="220"/>
              <w:jc w:val="both"/>
              <w:rPr>
                <w:rFonts w:ascii="Times New Roman" w:hAnsi="Times New Roman"/>
                <w:color w:val="000000"/>
                <w:sz w:val="22"/>
              </w:rPr>
            </w:pPr>
            <w:r>
              <w:rPr>
                <w:rFonts w:ascii="Times New Roman" w:hAnsi="Times New Roman"/>
                <w:color w:val="000000"/>
                <w:sz w:val="22"/>
              </w:rPr>
              <w:t>Final Trial Close-Out Monitoring Report</w:t>
            </w:r>
          </w:p>
        </w:tc>
        <w:tc>
          <w:tcPr>
            <w:tcW w:w="119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220"/>
              <w:jc w:val="both"/>
              <w:rPr>
                <w:rFonts w:ascii="Times New Roman" w:hAnsi="Times New Roman"/>
                <w:color w:val="000000"/>
                <w:sz w:val="22"/>
              </w:rPr>
            </w:pPr>
            <w:r>
              <w:rPr>
                <w:rFonts w:ascii="Times New Roman" w:hAnsi="Times New Roman"/>
                <w:color w:val="000000"/>
                <w:sz w:val="22"/>
              </w:rPr>
              <w:t>X</w:t>
            </w:r>
          </w:p>
        </w:tc>
        <w:tc>
          <w:tcPr>
            <w:tcW w:w="133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220"/>
              <w:jc w:val="both"/>
              <w:rPr/>
            </w:pPr>
            <w:r>
              <w:rPr/>
              <w:t> </w:t>
            </w:r>
          </w:p>
        </w:tc>
      </w:tr>
      <w:tr>
        <w:trPr/>
        <w:tc>
          <w:tcPr>
            <w:tcW w:w="767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ind w:left="0" w:right="0" w:firstLine="220"/>
              <w:jc w:val="both"/>
              <w:rPr>
                <w:rFonts w:ascii="Times New Roman" w:hAnsi="Times New Roman"/>
                <w:color w:val="000000"/>
                <w:sz w:val="22"/>
              </w:rPr>
            </w:pPr>
            <w:r>
              <w:rPr>
                <w:rFonts w:ascii="Times New Roman" w:hAnsi="Times New Roman"/>
                <w:color w:val="000000"/>
                <w:sz w:val="22"/>
              </w:rPr>
              <w:t>Treatment Allocation and Decoding Documentation</w:t>
            </w:r>
          </w:p>
        </w:tc>
        <w:tc>
          <w:tcPr>
            <w:tcW w:w="119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220"/>
              <w:jc w:val="both"/>
              <w:rPr>
                <w:rFonts w:ascii="Times New Roman" w:hAnsi="Times New Roman"/>
                <w:color w:val="000000"/>
                <w:sz w:val="22"/>
              </w:rPr>
            </w:pPr>
            <w:r>
              <w:rPr>
                <w:rFonts w:ascii="Times New Roman" w:hAnsi="Times New Roman"/>
                <w:color w:val="000000"/>
                <w:sz w:val="22"/>
              </w:rPr>
              <w:t>NA</w:t>
            </w:r>
          </w:p>
        </w:tc>
        <w:tc>
          <w:tcPr>
            <w:tcW w:w="133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220"/>
              <w:jc w:val="both"/>
              <w:rPr/>
            </w:pPr>
            <w:r>
              <w:rPr/>
              <w:t> </w:t>
            </w:r>
          </w:p>
        </w:tc>
      </w:tr>
      <w:tr>
        <w:trPr/>
        <w:tc>
          <w:tcPr>
            <w:tcW w:w="767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ind w:left="0" w:right="0" w:firstLine="220"/>
              <w:jc w:val="both"/>
              <w:rPr>
                <w:rFonts w:ascii="Times New Roman" w:hAnsi="Times New Roman"/>
                <w:color w:val="000000"/>
                <w:sz w:val="22"/>
              </w:rPr>
            </w:pPr>
            <w:r>
              <w:rPr>
                <w:rFonts w:ascii="Times New Roman" w:hAnsi="Times New Roman"/>
                <w:color w:val="000000"/>
                <w:sz w:val="22"/>
              </w:rPr>
              <w:t>Clinical Study Report</w:t>
            </w:r>
          </w:p>
        </w:tc>
        <w:tc>
          <w:tcPr>
            <w:tcW w:w="119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220"/>
              <w:jc w:val="both"/>
              <w:rPr>
                <w:rFonts w:ascii="Times New Roman" w:hAnsi="Times New Roman"/>
                <w:color w:val="000000"/>
                <w:sz w:val="22"/>
              </w:rPr>
            </w:pPr>
            <w:r>
              <w:rPr>
                <w:rFonts w:ascii="Times New Roman" w:hAnsi="Times New Roman"/>
                <w:color w:val="000000"/>
                <w:sz w:val="22"/>
              </w:rPr>
              <w:t>X</w:t>
            </w:r>
          </w:p>
        </w:tc>
        <w:tc>
          <w:tcPr>
            <w:tcW w:w="133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220"/>
              <w:jc w:val="both"/>
              <w:rPr/>
            </w:pPr>
            <w:r>
              <w:rPr/>
              <w:t> </w:t>
            </w:r>
          </w:p>
        </w:tc>
      </w:tr>
      <w:tr>
        <w:trPr/>
        <w:tc>
          <w:tcPr>
            <w:tcW w:w="767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ind w:left="0" w:right="0" w:firstLine="220"/>
              <w:jc w:val="both"/>
              <w:rPr>
                <w:rFonts w:ascii="Times New Roman" w:hAnsi="Times New Roman"/>
                <w:b/>
                <w:color w:val="000000"/>
                <w:sz w:val="22"/>
              </w:rPr>
            </w:pPr>
            <w:r>
              <w:rPr>
                <w:rFonts w:ascii="Times New Roman" w:hAnsi="Times New Roman"/>
                <w:b/>
                <w:color w:val="000000"/>
                <w:sz w:val="22"/>
              </w:rPr>
              <w:t>IMP Manufacturing/ Quality Testing Records</w:t>
            </w:r>
          </w:p>
        </w:tc>
        <w:tc>
          <w:tcPr>
            <w:tcW w:w="119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220"/>
              <w:jc w:val="left"/>
              <w:rPr>
                <w:sz w:val="4"/>
                <w:szCs w:val="4"/>
              </w:rPr>
            </w:pPr>
            <w:r>
              <w:rPr>
                <w:sz w:val="4"/>
                <w:szCs w:val="4"/>
              </w:rPr>
            </w:r>
          </w:p>
        </w:tc>
        <w:tc>
          <w:tcPr>
            <w:tcW w:w="133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220"/>
              <w:jc w:val="left"/>
              <w:rPr>
                <w:sz w:val="4"/>
                <w:szCs w:val="4"/>
              </w:rPr>
            </w:pPr>
            <w:r>
              <w:rPr>
                <w:sz w:val="4"/>
                <w:szCs w:val="4"/>
              </w:rPr>
            </w:r>
          </w:p>
        </w:tc>
      </w:tr>
      <w:tr>
        <w:trPr/>
        <w:tc>
          <w:tcPr>
            <w:tcW w:w="767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ind w:left="0" w:right="0" w:firstLine="220"/>
              <w:jc w:val="both"/>
              <w:rPr>
                <w:rFonts w:ascii="Times New Roman" w:hAnsi="Times New Roman"/>
                <w:color w:val="000000"/>
                <w:sz w:val="22"/>
              </w:rPr>
            </w:pPr>
            <w:r>
              <w:rPr>
                <w:rFonts w:ascii="Times New Roman" w:hAnsi="Times New Roman"/>
                <w:color w:val="000000"/>
                <w:sz w:val="22"/>
              </w:rPr>
              <w:t>IMP Manufacturing Records (packaging/labeling)</w:t>
            </w:r>
          </w:p>
        </w:tc>
        <w:tc>
          <w:tcPr>
            <w:tcW w:w="119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220"/>
              <w:jc w:val="both"/>
              <w:rPr>
                <w:rFonts w:ascii="Times New Roman" w:hAnsi="Times New Roman"/>
                <w:color w:val="000000"/>
                <w:sz w:val="22"/>
              </w:rPr>
            </w:pPr>
            <w:r>
              <w:rPr>
                <w:rFonts w:ascii="Times New Roman" w:hAnsi="Times New Roman"/>
                <w:color w:val="000000"/>
                <w:sz w:val="22"/>
              </w:rPr>
              <w:t>X</w:t>
            </w:r>
          </w:p>
        </w:tc>
        <w:tc>
          <w:tcPr>
            <w:tcW w:w="133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220"/>
              <w:jc w:val="both"/>
              <w:rPr>
                <w:rFonts w:ascii="Times New Roman" w:hAnsi="Times New Roman"/>
                <w:color w:val="000000"/>
                <w:sz w:val="22"/>
              </w:rPr>
            </w:pPr>
            <w:r>
              <w:rPr>
                <w:rFonts w:ascii="Times New Roman" w:hAnsi="Times New Roman"/>
                <w:color w:val="000000"/>
                <w:sz w:val="22"/>
              </w:rPr>
              <w:t>X</w:t>
            </w:r>
          </w:p>
        </w:tc>
      </w:tr>
      <w:tr>
        <w:trPr/>
        <w:tc>
          <w:tcPr>
            <w:tcW w:w="767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ind w:left="0" w:right="0" w:firstLine="220"/>
              <w:jc w:val="both"/>
              <w:rPr>
                <w:rFonts w:ascii="Times New Roman" w:hAnsi="Times New Roman"/>
                <w:color w:val="000000"/>
                <w:sz w:val="22"/>
              </w:rPr>
            </w:pPr>
            <w:r>
              <w:rPr>
                <w:rFonts w:ascii="Times New Roman" w:hAnsi="Times New Roman"/>
                <w:color w:val="000000"/>
                <w:sz w:val="22"/>
              </w:rPr>
              <w:t>IMP Quality Testing Records</w:t>
            </w:r>
          </w:p>
        </w:tc>
        <w:tc>
          <w:tcPr>
            <w:tcW w:w="119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220"/>
              <w:jc w:val="both"/>
              <w:rPr>
                <w:rFonts w:ascii="Times New Roman" w:hAnsi="Times New Roman"/>
                <w:color w:val="000000"/>
                <w:sz w:val="22"/>
              </w:rPr>
            </w:pPr>
            <w:r>
              <w:rPr>
                <w:rFonts w:ascii="Times New Roman" w:hAnsi="Times New Roman"/>
                <w:color w:val="000000"/>
                <w:sz w:val="22"/>
              </w:rPr>
              <w:t>X</w:t>
            </w:r>
          </w:p>
        </w:tc>
        <w:tc>
          <w:tcPr>
            <w:tcW w:w="133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220" w:right="0" w:firstLine="220"/>
              <w:jc w:val="both"/>
              <w:rPr>
                <w:rFonts w:ascii="Times New Roman" w:hAnsi="Times New Roman"/>
                <w:color w:val="000000"/>
                <w:sz w:val="22"/>
              </w:rPr>
            </w:pPr>
            <w:r>
              <w:rPr>
                <w:rFonts w:ascii="Times New Roman" w:hAnsi="Times New Roman"/>
                <w:color w:val="000000"/>
                <w:sz w:val="22"/>
              </w:rPr>
              <w:t>X</w:t>
            </w:r>
          </w:p>
        </w:tc>
      </w:tr>
    </w:tbl>
    <w:p>
      <w:pPr>
        <w:pStyle w:val="TextBody"/>
        <w:bidi w:val="0"/>
        <w:jc w:val="center"/>
        <w:rPr>
          <w:rFonts w:ascii="Times New Roman" w:hAnsi="Times New Roman"/>
          <w:color w:val="000000"/>
          <w:sz w:val="22"/>
        </w:rPr>
      </w:pPr>
      <w:r>
        <w:rPr>
          <w:rFonts w:ascii="Times New Roman" w:hAnsi="Times New Roman"/>
          <w:color w:val="000000"/>
          <w:sz w:val="22"/>
        </w:rPr>
        <w:t>10</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4111</Words>
  <Characters>23470</Characters>
  <CharactersWithSpaces>27248</CharactersWithSpaces>
  <Paragraphs>618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