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283"/>
        <w:jc w:val="center"/>
        <w:rPr>
          <w:rFonts w:ascii="Times New Roman" w:hAnsi="Times New Roman"/>
          <w:sz w:val="36"/>
        </w:rPr>
      </w:pPr>
      <w:bookmarkStart w:id="0" w:name="atyr-20261016.htm"/>
      <w:bookmarkStart w:id="1" w:name="ksatyr20261016"/>
      <w:bookmarkEnd w:id="0"/>
      <w:bookmarkEnd w:id="1"/>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8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18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October 16, 2026</w:t>
      </w:r>
    </w:p>
    <w:p>
      <w:pPr>
        <w:pStyle w:val="TextBody"/>
        <w:pBdr>
          <w:bottom w:val="single" w:sz="8"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180" w:after="283"/>
        <w:jc w:val="center"/>
        <w:rPr/>
      </w:pPr>
      <w:r>
        <w:rPr/>
        <w:t> </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406"/>
        <w:gridCol w:w="146"/>
        <w:gridCol w:w="1861"/>
        <w:gridCol w:w="146"/>
        <w:gridCol w:w="133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15"/>
              </w:rPr>
              <w:t>(Commission</w:t>
            </w:r>
            <w:r>
              <w:rPr>
                <w:rFonts w:ascii="Times New Roman" w:hAnsi="Times New Roman"/>
                <w:color w:val="000000"/>
                <w:sz w:val="24"/>
              </w:rPr>
              <w:t xml:space="preserve"> </w:t>
            </w: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p>
            <w:pPr>
              <w:pStyle w:val="TableContents"/>
              <w:bidi w:val="0"/>
              <w:spacing w:before="0" w:after="15"/>
              <w:jc w:val="center"/>
              <w:rPr/>
            </w:pPr>
            <w:r>
              <w:rPr/>
              <w:t> </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10240 Sorrento Valley Road,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46" w:type="dxa"/>
            <w:tcBorders/>
            <w:tcMar>
              <w:top w:w="0" w:type="dxa"/>
              <w:left w:w="0" w:type="dxa"/>
              <w:bottom w:w="0" w:type="dxa"/>
              <w:right w:w="0" w:type="dxa"/>
            </w:tcMar>
            <w:vAlign w:val="center"/>
          </w:tcPr>
          <w:p>
            <w:pPr>
              <w:pStyle w:val="TableContents"/>
              <w:bidi w:val="0"/>
              <w:spacing w:before="0" w:after="15"/>
              <w:jc w:val="center"/>
              <w:rPr/>
            </w:pPr>
            <w:r>
              <w:rPr/>
              <w:t> </w:t>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 731-8389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15"/>
        </w:rPr>
      </w:pPr>
      <w:r>
        <w:rPr>
          <w:rFonts w:ascii="Times New Roman" w:hAnsi="Times New Roman"/>
          <w:b/>
          <w:color w:val="000000"/>
          <w:sz w:val="15"/>
        </w:rPr>
        <w:t>(Former name or former address, if changed since last report)</w:t>
      </w:r>
      <w:r>
        <w:rPr>
          <w:rFonts w:ascii="Times New Roman" w:hAnsi="Times New Roman"/>
          <w:color w:val="000000"/>
          <w:sz w:val="15"/>
        </w:rPr>
        <w:t xml:space="preserve"> </w:t>
      </w:r>
    </w:p>
    <w:p>
      <w:pPr>
        <w:pStyle w:val="TextBody"/>
        <w:pBdr>
          <w:bottom w:val="single" w:sz="8" w:space="1" w:color="000000"/>
        </w:pBdr>
        <w:bidi w:val="0"/>
        <w:spacing w:before="180" w:after="283"/>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obligations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ATYR</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16, 2026, aTyr Pharma, Inc. (the “Company”) held its 2026 Special Meeting of Stockholders (the “Special Meeting”). As of September 4, 2026, the record date for the Special Meeting (the “Record Date”), 98,087,425 shares of the Company’s common stock were outstanding and entitled to vote at the Special Meeting. A summary of the matter voted upon by stockholders at the Special Meeting is set forth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total of 57,915,370 shares of the Company’s common stock were present or represented by valid proxy at the Special Meeting, which represented approximately 59.04% of the shares of the Company’s common stock outstanding as of the Record Date. The matter submitted to a vote of the Company's stockholders at the Special Meeting was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votes cast for and against and the number of votes withheld, abstentions and broker non-votes, as applicable, with respect to the matter voted upon at the Special Meeting are set forth below. Voting results are, when applicable, reported by rounding fractional share voting down to the nearest round number.</w:t>
      </w:r>
    </w:p>
    <w:p>
      <w:pPr>
        <w:pStyle w:val="TextBody"/>
        <w:bidi w:val="0"/>
        <w:spacing w:before="240" w:after="283"/>
        <w:jc w:val="both"/>
        <w:rPr>
          <w:rFonts w:ascii="Times New Roman" w:hAnsi="Times New Roman"/>
          <w:sz w:val="19"/>
        </w:rPr>
      </w:pPr>
      <w:r>
        <w:rPr>
          <w:rFonts w:ascii="Times New Roman" w:hAnsi="Times New Roman"/>
          <w:b/>
          <w:i/>
          <w:color w:val="000000"/>
          <w:sz w:val="20"/>
        </w:rPr>
        <w:t xml:space="preserve">Proposal 1: Approval of a series of alternate amendments to the Company's restated certificate of incorporation to effect, at the option of the Company's </w:t>
      </w:r>
      <w:r>
        <w:rPr>
          <w:rFonts w:ascii="Times New Roman" w:hAnsi="Times New Roman"/>
          <w:b/>
          <w:i/>
          <w:color w:val="000000"/>
          <w:sz w:val="19"/>
        </w:rPr>
        <w:t>Board of Directors, a reverse stock split of the Company's common stock at a ratio between 1-for-10 and 1-for-50, inclusive, as determined by the Company's Board of Directors in its sole discretion.</w:t>
      </w:r>
    </w:p>
    <w:tbl>
      <w:tblPr>
        <w:tblW w:w="4699" w:type="dxa"/>
        <w:jc w:val="left"/>
        <w:tblInd w:w="0" w:type="dxa"/>
        <w:tblLayout w:type="fixed"/>
        <w:tblCellMar>
          <w:top w:w="28" w:type="dxa"/>
          <w:left w:w="28" w:type="dxa"/>
          <w:bottom w:w="28" w:type="dxa"/>
          <w:right w:w="28" w:type="dxa"/>
        </w:tblCellMar>
      </w:tblPr>
      <w:tblGrid>
        <w:gridCol w:w="1051"/>
        <w:gridCol w:w="1261"/>
        <w:gridCol w:w="78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Votes Against</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52,451,734</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5,234,645</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228,991</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pPr>
      <w:r>
        <w:rPr/>
        <w:t> </w:t>
      </w:r>
    </w:p>
    <w:p>
      <w:pPr>
        <w:pStyle w:val="TextBody"/>
        <w:bidi w:val="0"/>
        <w:jc w:val="left"/>
        <w:rPr/>
      </w:pPr>
      <w:r>
        <w:rPr/>
        <w:t> </w:t>
      </w:r>
    </w:p>
    <w:p>
      <w:pPr>
        <w:pStyle w:val="TextBody"/>
        <w:pBdr>
          <w:bottom w:val="double" w:sz="4"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28" w:type="dxa"/>
        <w:jc w:val="left"/>
        <w:tblInd w:w="0" w:type="dxa"/>
        <w:tblLayout w:type="fixed"/>
        <w:tblCellMar>
          <w:top w:w="28" w:type="dxa"/>
          <w:left w:w="28" w:type="dxa"/>
          <w:bottom w:w="28" w:type="dxa"/>
          <w:right w:w="28" w:type="dxa"/>
        </w:tblCellMar>
      </w:tblPr>
      <w:tblGrid>
        <w:gridCol w:w="2011"/>
        <w:gridCol w:w="406"/>
        <w:gridCol w:w="2011"/>
      </w:tblGrid>
      <w:tr>
        <w:trPr/>
        <w:tc>
          <w:tcPr>
            <w:tcW w:w="20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Brandon Yaras</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Brandon Yaras</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16,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double" w:sz="4"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3254</Characters>
  <CharactersWithSpaces>3828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