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Yaras Brandon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aTYR PHARMA INC</w:t>
              </w:r>
            </w:hyperlink>
            <w:r>
              <w:rPr/>
              <w:t xml:space="preserve"> [ </w:t>
            </w:r>
            <w:r>
              <w:rPr>
                <w:rFonts w:ascii="Times;serif" w:hAnsi="Times;serif"/>
                <w:color w:val="0000FF"/>
                <w:sz w:val="24"/>
                <w:shd w:fill="FFFFFF" w:val="clear"/>
              </w:rPr>
              <w:t>ATYR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and become exercisable in 48 equal monthly installments beginning November 1, 2026, such that this option will be fully exercisable on November 1, 2030. This option is subject to accelerated vesting upon termination without cause upon change of control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Yaras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611" TargetMode="External"/><Relationship Id="rId5" Type="http://schemas.openxmlformats.org/officeDocument/2006/relationships/hyperlink" Target="http://www.sec.gov/cgi-bin/browse-edgar?action=getcompany&amp;CIK=00013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3377</Characters>
  <CharactersWithSpaces>3929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