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yr-20260630.htm"/>
      <w:bookmarkStart w:id="1" w:name="ksatyr20260630"/>
      <w:bookmarkEnd w:id="0"/>
      <w:bookmarkEnd w:id="1"/>
      <w:r>
        <w:drawing>
          <wp:anchor behindDoc="0" distT="0" distB="0" distL="0" distR="0" simplePos="0" locked="0" layoutInCell="1" allowOverlap="1" relativeHeight="2">
            <wp:simplePos x="0" y="0"/>
            <wp:positionH relativeFrom="page">
              <wp:posOffset>2540</wp:posOffset>
            </wp:positionH>
            <wp:positionV relativeFrom="page">
              <wp:posOffset>185420</wp:posOffset>
            </wp:positionV>
            <wp:extent cx="1109980" cy="66357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9980" cy="663575"/>
                    </a:xfrm>
                    <a:prstGeom prst="rect">
                      <a:avLst/>
                    </a:prstGeom>
                  </pic:spPr>
                </pic:pic>
              </a:graphicData>
            </a:graphic>
          </wp:anchor>
        </w:drawing>
      </w:r>
      <w:r>
        <w:rPr/>
        <w:t> </w:t>
      </w:r>
    </w:p>
    <w:p>
      <w:pPr>
        <w:pStyle w:val="TextBody"/>
        <w:pBdr>
          <w:top w:val="double" w:sz="4" w:space="1" w:color="000000"/>
        </w:pBdr>
        <w:bidi w:val="0"/>
        <w:jc w:val="left"/>
        <w:rPr>
          <w:rFonts w:ascii="Times New Roman" w:hAnsi="Times New Roman"/>
          <w:color w:val="000000"/>
          <w:sz w:val="2"/>
        </w:rPr>
      </w:pPr>
      <w:r>
        <w:rPr>
          <w:rFonts w:ascii="Times New Roman" w:hAnsi="Times New Roman"/>
          <w:color w:val="000000"/>
          <w:sz w:val="2"/>
        </w:rPr>
        <w:t>f+</w:t>
      </w:r>
    </w:p>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spacing w:before="4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4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Commission File Number: 001-37378</w:t>
      </w:r>
    </w:p>
    <w:p>
      <w:pPr>
        <w:pStyle w:val="TextBody"/>
        <w:pBdr>
          <w:bottom w:val="single" w:sz="4" w:space="1" w:color="000000"/>
        </w:pBdr>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4711"/>
        <w:gridCol w:w="1486"/>
      </w:tblGrid>
      <w:tr>
        <w:trPr/>
        <w:tc>
          <w:tcPr>
            <w:tcW w:w="471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471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4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10240 Sorrento Valley Road, Suite 300, San Diego,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(858) 731-8389</w:t>
      </w:r>
    </w:p>
    <w:p>
      <w:pPr>
        <w:pStyle w:val="TextBody"/>
        <w:bidi w:val="0"/>
        <w:spacing w:before="60" w:after="283"/>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9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8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ATYR</w:t>
            </w:r>
          </w:p>
        </w:tc>
        <w:tc>
          <w:tcPr>
            <w:tcW w:w="38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01" w:type="dxa"/>
        <w:jc w:val="left"/>
        <w:tblInd w:w="0" w:type="dxa"/>
        <w:tblLayout w:type="fixed"/>
        <w:tblCellMar>
          <w:top w:w="28" w:type="dxa"/>
          <w:left w:w="28" w:type="dxa"/>
          <w:bottom w:w="28" w:type="dxa"/>
          <w:right w:w="28" w:type="dxa"/>
        </w:tblCellMar>
      </w:tblPr>
      <w:tblGrid>
        <w:gridCol w:w="1921"/>
        <w:gridCol w:w="146"/>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6, 2026, there were 98,087,425 shares of the registrant’s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93"/>
        <w:gridCol w:w="146"/>
        <w:gridCol w:w="1066"/>
      </w:tblGrid>
      <w:tr>
        <w:trPr/>
        <w:tc>
          <w:tcPr>
            <w:tcW w:w="8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balance_sheets">
              <w:r>
                <w:rPr>
                  <w:rStyle w:val="InternetLink"/>
                  <w:rFonts w:ascii="Times New Roman" w:hAnsi="Times New Roman"/>
                  <w:color w:val="0000FF"/>
                  <w:sz w:val="20"/>
                  <w:u w:val="single"/>
                </w:rPr>
                <w:t>Condensed Consolidated Balance Sheets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4</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compre">
              <w:r>
                <w:rPr>
                  <w:rStyle w:val="InternetLink"/>
                  <w:rFonts w:ascii="Times New Roman" w:hAnsi="Times New Roman"/>
                  <w:color w:val="0000FF"/>
                  <w:sz w:val="20"/>
                  <w:u w:val="single"/>
                </w:rPr>
                <w:t>Condensed Consolidated Statements of Comprehensive Loss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5</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equity">
              <w:r>
                <w:rPr>
                  <w:rStyle w:val="InternetLink"/>
                  <w:rFonts w:ascii="Times New Roman" w:hAnsi="Times New Roman"/>
                  <w:color w:val="0000FF"/>
                  <w:sz w:val="20"/>
                  <w:u w:val="single"/>
                </w:rPr>
                <w:t>Condensed Consolidated Statements of Stockholders’ Equity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6</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7</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8</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16</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23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pPr>
            <w:r>
              <w:rPr/>
              <w:t> </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part_ii_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24</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24</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2_unregistered_sales_of_equity">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4_mine_safety_disclosure">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5_othe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1"/>
        <w:gridCol w:w="146"/>
        <w:gridCol w:w="211"/>
        <w:gridCol w:w="843"/>
        <w:gridCol w:w="166"/>
        <w:gridCol w:w="146"/>
        <w:gridCol w:w="220"/>
        <w:gridCol w:w="878"/>
        <w:gridCol w:w="414"/>
      </w:tblGrid>
      <w:tr>
        <w:trPr/>
        <w:tc>
          <w:tcPr>
            <w:tcW w:w="7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financing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per share; 5,000,000 undesignated authorized shares as of June 30, 2026 (unaudited) and December 31, 2025, respectively; no shares issued or outstanding as of June 30, 2026 (unaudited)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per share; 340,000,000 and 170,000,000 authorized shares as of June 30, 2026 (unaudited) and December 31, 2025, respectively; 98,087,425 and 98,031,014 issued and outstanding shares as of June 30, 2026 (unaudited)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673,554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(606,164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aTyr Pharma,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 in Pangu BioPharma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 in Pangu BioPharma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aTyr Pharma,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98,069,915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90,120,235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98,056,949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88,312,722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3"/>
        <w:gridCol w:w="146"/>
        <w:gridCol w:w="231"/>
        <w:gridCol w:w="806"/>
        <w:gridCol w:w="181"/>
        <w:gridCol w:w="159"/>
        <w:gridCol w:w="231"/>
        <w:gridCol w:w="806"/>
        <w:gridCol w:w="166"/>
        <w:gridCol w:w="146"/>
        <w:gridCol w:w="219"/>
        <w:gridCol w:w="766"/>
        <w:gridCol w:w="172"/>
        <w:gridCol w:w="151"/>
        <w:gridCol w:w="219"/>
        <w:gridCol w:w="766"/>
        <w:gridCol w:w="417"/>
      </w:tblGrid>
      <w:tr>
        <w:trPr/>
        <w:tc>
          <w:tcPr>
            <w:tcW w:w="4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6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9" w:type="dxa"/>
            <w:gridSpan w:val="14"/>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 (loss) on available-for-sale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noncontrolling interest in Pangu BioPharma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aTyr Pharma,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(34,446</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jc w:val="center"/>
        <w:rPr>
          <w:rFonts w:ascii="Times New Roman" w:hAnsi="Times New Roman"/>
          <w:sz w:val="20"/>
        </w:rPr>
      </w:pPr>
      <w:bookmarkStart w:id="7" w:name="condensed_consolidated_statements_equity"/>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08"/>
        <w:gridCol w:w="146"/>
        <w:gridCol w:w="916"/>
        <w:gridCol w:w="146"/>
        <w:gridCol w:w="249"/>
        <w:gridCol w:w="442"/>
        <w:gridCol w:w="146"/>
        <w:gridCol w:w="196"/>
        <w:gridCol w:w="691"/>
        <w:gridCol w:w="146"/>
        <w:gridCol w:w="439"/>
        <w:gridCol w:w="777"/>
        <w:gridCol w:w="166"/>
        <w:gridCol w:w="217"/>
        <w:gridCol w:w="834"/>
        <w:gridCol w:w="166"/>
        <w:gridCol w:w="372"/>
        <w:gridCol w:w="829"/>
        <w:gridCol w:w="166"/>
        <w:gridCol w:w="237"/>
        <w:gridCol w:w="804"/>
        <w:gridCol w:w="412"/>
      </w:tblGrid>
      <w:tr>
        <w:trPr/>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 (unaudited)</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98,031,104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67,288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unrealized loss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98,051,212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57,741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unrealized gain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98,087,425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48,594</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 (unaudited)</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84,038,922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69,832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at-the-market offerings,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89,002,825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74,862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at-the-market offerings,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unrealized loss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92,871,182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74,656</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4"/>
        <w:gridCol w:w="146"/>
        <w:gridCol w:w="226"/>
        <w:gridCol w:w="792"/>
        <w:gridCol w:w="178"/>
        <w:gridCol w:w="156"/>
        <w:gridCol w:w="226"/>
        <w:gridCol w:w="792"/>
        <w:gridCol w:w="595"/>
      </w:tblGrid>
      <w:tr>
        <w:trPr/>
        <w:tc>
          <w:tcPr>
            <w:tcW w:w="7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of available-for-sale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financing lease bargain purchase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(29,314</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available-for-sale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available-for-sale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through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through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from at-the-market offerings,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paid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Business, Basis of Presentation and Summary of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incorporated in the state of Delaware on September 8, 2005. We are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Our discovery platform is focused on unlocking hidden therapeutic intervention points by uncovering signaling pathways driven by our proprietary library of domains derived from all 20 tRNA synthetases.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unaudited condensed consolidated financial statements include our accounts and our 98% majority-owned subsidiary in Hong Kong, Pangu BioPharma Limited (Pangu BioPharma). All intercompany transactions and balances are eliminated in consolidation.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interim unaudited condensed consolidated financial statements have been prepared in accordance with United States generally accepted accounting principles (U.S. GAAP) and follow the requirements of the U.S. Securities and Exchange Commission (SEC) for interim reporting. As permitted under those rules, certain footnotes or other financial information that are normally required by U.S. GAAP can be condensed or omitted. In our opinion, the unaudited interim condensed consolidated financial statements have been prepared on the same basis as the audited consolidated financial statements and include all adjustments, which include only normal recurring adjustments, necessary for the fair presentation of our financial position and our results of operations and cash flows for periods presented. These statements do not include all disclosures required by U.S. GAAP and should be read in conjunction with our financial statements and accompanying notes for the fiscal year ended December 31, 2025, contained in our Annual Report on Form 10-K for the year ended December 31, 2025, filed with the SEC on March 5, 2026. The results of the interim periods are not necessarily indicative of the results expected for the full fiscal year or any other interim period or any future year or period.</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Liquidity and Financial Condition</w:t>
      </w:r>
    </w:p>
    <w:p>
      <w:pPr>
        <w:pStyle w:val="TextBody"/>
        <w:bidi w:val="0"/>
        <w:jc w:val="both"/>
        <w:rPr>
          <w:rFonts w:ascii="Times New Roman" w:hAnsi="Times New Roman"/>
          <w:sz w:val="20"/>
        </w:rPr>
      </w:pPr>
      <w:r>
        <w:rPr>
          <w:rFonts w:ascii="Times New Roman" w:hAnsi="Times New Roman"/>
          <w:color w:val="000000"/>
          <w:sz w:val="20"/>
        </w:rPr>
        <w:t>We have incurred net losses and negative cash flows from operations since our inception in 2005, including a consolidated net loss of $10.3 million and $21.1 million for the three and six months ended June 30, 2026. As of June 30, 2026, we had an accumulated deficit of $627.3 million. We currently have an “at-the-market” offering program (the Jefferies ATM Offering Program) through an Open Market Sale Agreement</w:t>
      </w:r>
      <w:r>
        <w:rPr>
          <w:rFonts w:ascii="Times New Roman" w:hAnsi="Times New Roman"/>
          <w:color w:val="000000"/>
          <w:sz w:val="13"/>
        </w:rPr>
        <w:t>SM</w:t>
      </w:r>
      <w:r>
        <w:rPr>
          <w:rFonts w:ascii="Times New Roman" w:hAnsi="Times New Roman"/>
          <w:color w:val="000000"/>
          <w:sz w:val="20"/>
        </w:rPr>
        <w:t xml:space="preserve"> with Jefferies LLC (Jefferies). We did not utilize the Jefferies ATM Offering Program during the three and six months ended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to fund our operations.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equity or debt offerings, grant funding, collaborations, strategic partnerships and/or licensing arrangements. However, we may be unable to raise additional capital or enter into such arrangements when needed on favorable terms or at all. Our failure to raise capital or enter into such arrangements when needed would have a negative impact on our financial condition and ability to develop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existing cash, cash equivalents, restricted cash and available-for-sale investments of $58.9 million as of June 30, 2026 will be sufficient to meet our material cash requirements from known contractual and other obligations for a period of at least one year from the filing date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restricted cash was approximately $1.5 million, which was held as a security deposit in conjunction with our corporate headquarters facility lease and financing leases as discussed further in Note 4 - Commitments and Contingencies.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Allowance of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available-for-sale investments in an unrealized loss position, we first assess whether we intend to sell, or if it is more likely than not that we will be required to sell, the security before recovery of its amortized cost basis. If either of the criteria regarding intent or requirement to sell is met, the security’s amortized cost basis is written down to fair value through earnings. For available-for-sale investments that do not meet the aforementioned criteria, we evaluate whether the decline in fair value has resulted from credit losses or other factors. In making this assessment, we consider the severity of the impairment, any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(loss) on the unaudited condensed consolidated statements of operations and comprehensive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elected the practical expedient to exclude the applicable accrued interest from both the fair value and amortized costs basis of our available-for-sale investments for purposes of identifying and measuring an impairment. Accrued interest receivable on available-for-sale investments is recorded within other receivables on our unaudited condensed consolidated balance sheets. Our accounting policy is to not measure an allowance for credit loss for accrued interest receivable and to write-off any uncollectible accrued interest receivable as a reversal of interest income in a timely manner, which we consider to be in the period in which we determine the accrued interest will not be collected by us.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Use of Estimates</w:t>
      </w:r>
    </w:p>
    <w:p>
      <w:pPr>
        <w:pStyle w:val="TextBody"/>
        <w:bidi w:val="0"/>
        <w:jc w:val="both"/>
        <w:rPr>
          <w:rFonts w:ascii="Times New Roman" w:hAnsi="Times New Roman"/>
          <w:color w:val="000000"/>
          <w:sz w:val="20"/>
        </w:rPr>
      </w:pPr>
      <w:r>
        <w:rPr>
          <w:rFonts w:ascii="Times New Roman" w:hAnsi="Times New Roman"/>
          <w:color w:val="000000"/>
          <w:sz w:val="20"/>
        </w:rPr>
        <w:t>Our unaudited condensed consolidated financial statements are prepared in accordance with U.S. GAAP. The preparation of our unaudited condensed consolidated financial statements requires us to make estimates and assumptions that impact the reported amounts of assets, liabilities and expenses and the disclosure for these items in our unaudited condensed consolidated financial statements and accompanying notes. The most significant estimates in our unaudited condensed consolidated financial statements relate to clinical trial and research and development expenses. Although these estimates are based on our knowledge of current events and actions we may undertake in the future, actual results may ultimately differ materially from these estimates and assumptions.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expenses include salaries, wages, benefits costs, consulting fees, legal and research and development costs. We have entered into contractual arrangements related to our clinical studies with clinical research organizations (CROs) and contracted development and manufacturing organizations (CDMOs) and recognize expense based on work completed and efforts expended pursuant to our contractual arrangements. We make estimates of our accrued CRO costs as of each balance sheet date based on facts and circumstances known at the time and include total trial management costs, sites activated, patients enrolled and number of patient visits. We estimate the time period over which services will be performed and the level of effort to be expended in each period. There may be instances in which payments made to our service providers including CROs and CDMOs, will temporarily exceed the level of services provided and result in a prepayment of the expense. If the actual timing of the performance of services or the level of effort varies from our estimate, we adjust the accrual or prepaid expense balance accordingly. Historically, our estimated accrued liabilities have materially approximated actual expenses incurred.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determine if an arrangement is a lease at inception. Short-term leases with an initial term of 12 months or less are not recorded on our balance sheet. For long-term leases with an initial term of greater than 12 months, we recognize a right-of-use asset (ROU) and a lease liability based on the present value of future lease payments using an estimated rate of interest that we would pay to borrow equivalent funds on a collateralized basis at the lease commencement date. We determine the lease term at the commencement date by considering whether renewal options and termination options are reasonably assured of exercise. Rent expense for operating leases is recognized on a straight-line basis over the lease term and is included in operating expenses in our unaudited condensed consolidated statements of operations. For financing leases, interest expense and amortization of the ROU is included in operating expenses in our unaudited condensed consolidated statements of operations and variable lease payments are expensed as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lease is modified, the modified contract is evaluated to determine whether it is or contains a lease. If a lease continues to exist, the lease modification is determined to be a separate contract when the modification grants the lessee an additional ROU that is not included in the original lease and the lease payments increase commensurate with the standalone price for the additional ROU. A lease modification that results in a separate contract will be accounted for in the same manner as a new lease. For a modification that is not a separate contract, we reassess the lease classification using the modified terms and conditions and the facts and circumstances as of the effective date of the modification and recognize the amount of the remeasurement of the lease liability for the modified lease as an adjustment to the corresponding ROU asset.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ROU assets consist of a non-cancelable operating lease for our corporate headquarters and financing leases for various research and development and information technology equipment.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separate lease and non-lease components for our long-term leases.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evaluate our agreements under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and ASC Topic 808, </w:t>
      </w:r>
      <w:r>
        <w:rPr>
          <w:rFonts w:ascii="Times New Roman" w:hAnsi="Times New Roman"/>
          <w:i/>
          <w:color w:val="000000"/>
          <w:sz w:val="20"/>
        </w:rPr>
        <w:t>Collaborative Arrangements</w:t>
      </w:r>
      <w:r>
        <w:rPr>
          <w:rFonts w:ascii="Times New Roman" w:hAnsi="Times New Roman"/>
          <w:color w:val="000000"/>
          <w:sz w:val="20"/>
        </w:rPr>
        <w:t>. We recognize revenue when we transfer promised goods or services to customers in an amount that reflects the consideration to which we expect to be entitled in exchange for those goods or services. In determining the appropriate amount of revenue to be recognized as we fulfill our obligations under our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recognize revenue in one of two ways, over time or at a point in time. We recognize revenue over time when we are executing on our performance obligation over time and our partner receives benefit over time. For example, we recognize revenue over time when we provide research and development services. We recognize revenue at a point in time when we transfer control of a distinct performance obligation to our partner. For example, if a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common shares outstanding for the period. Diluted net loss per share is calculated by dividing the net loss by the weighted-average number of common stock equivalents outstanding for the period determined using the treasury-stock method. Dilutive common stock equivalents are comprised of warrants for common stock, options and restricted stock units outstanding under our stock option plans and estimated shares to be purchased under our employee stock purchase plan. For all periods presented, there is no difference in the number of shares used to calculate basic and diluted shares outstanding due to our net loss position.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Potentially dilutive securities not considered for the calculation of diluted net loss per share are as follows (in common stock equivalents):</w:t>
      </w:r>
    </w:p>
    <w:tbl>
      <w:tblPr>
        <w:tblW w:w="6969" w:type="dxa"/>
        <w:jc w:val="left"/>
        <w:tblInd w:w="0" w:type="dxa"/>
        <w:tblLayout w:type="fixed"/>
        <w:tblCellMar>
          <w:top w:w="28" w:type="dxa"/>
          <w:left w:w="28" w:type="dxa"/>
          <w:bottom w:w="28" w:type="dxa"/>
          <w:right w:w="28" w:type="dxa"/>
        </w:tblCellMar>
      </w:tblPr>
      <w:tblGrid>
        <w:gridCol w:w="4081"/>
        <w:gridCol w:w="146"/>
        <w:gridCol w:w="146"/>
        <w:gridCol w:w="1036"/>
        <w:gridCol w:w="146"/>
        <w:gridCol w:w="146"/>
        <w:gridCol w:w="146"/>
        <w:gridCol w:w="931"/>
        <w:gridCol w:w="1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9,781,204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chief operating decision-maker (CODM) in making decisions regarding resource allocation and assessing performance. We view our operations and manage our business in one operating segment, which includes all activities related to the discovery and development of our product candidates. Our CODM is our Chief Executive Officer, who reviews and evaluates consolidated research and development expenses, general and administrative expenses, net loss, net cash used in operating activities and our consolidated cash and cash equivalents for purposes of making operating decisions, allocating resources and planning and forecasting future periods.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summarizes the significant expense categories regularly reviewed by our CODM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714"/>
        <w:gridCol w:w="146"/>
        <w:gridCol w:w="216"/>
        <w:gridCol w:w="756"/>
        <w:gridCol w:w="170"/>
        <w:gridCol w:w="149"/>
        <w:gridCol w:w="216"/>
        <w:gridCol w:w="756"/>
        <w:gridCol w:w="170"/>
        <w:gridCol w:w="149"/>
        <w:gridCol w:w="146"/>
        <w:gridCol w:w="222"/>
        <w:gridCol w:w="774"/>
        <w:gridCol w:w="174"/>
        <w:gridCol w:w="153"/>
        <w:gridCol w:w="222"/>
        <w:gridCol w:w="774"/>
        <w:gridCol w:w="298"/>
      </w:tblGrid>
      <w:tr>
        <w:trPr/>
        <w:tc>
          <w:tcPr>
            <w:tcW w:w="4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Efzofitimod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21,094</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Preclinical development and other shared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27,198</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07"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Other segment items includes interest income and interest expense.</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 Update (ASU) 2024-03, </w:t>
      </w:r>
      <w:r>
        <w:rPr>
          <w:rFonts w:ascii="Times New Roman" w:hAnsi="Times New Roman"/>
          <w:i/>
          <w:color w:val="000000"/>
          <w:sz w:val="20"/>
        </w:rPr>
        <w:t xml:space="preserve">Income Statement - Reporting Comprehensive Income - Expense Disaggregation Disclosures (Subtopic 220-40), </w:t>
      </w:r>
      <w:r>
        <w:rPr>
          <w:rFonts w:ascii="Times New Roman" w:hAnsi="Times New Roman"/>
          <w:color w:val="000000"/>
          <w:sz w:val="20"/>
        </w:rPr>
        <w:t>which requires entities to disclose, on an annual and interim basis, disaggregated information about certain income statement expense line items on the face of the income statement. The standard is effective for annual reporting periods beginning after December 15, 2026 and interim periods within annual reporting periods beginning after December 15, 2027, with early adoption permitted. We are currently evaluating the impact of the standard on our consolidated financial statements and related disclosure.</w:t>
      </w:r>
    </w:p>
    <w:p>
      <w:pPr>
        <w:pStyle w:val="TextBody"/>
        <w:bidi w:val="0"/>
        <w:spacing w:before="264" w:after="283"/>
        <w:jc w:val="left"/>
        <w:rPr>
          <w:rFonts w:ascii="Times New Roman" w:hAnsi="Times New Roman"/>
          <w:sz w:val="20"/>
        </w:rPr>
      </w:pPr>
      <w:r>
        <w:rPr>
          <w:rFonts w:ascii="Times New Roman" w:hAnsi="Times New Roman"/>
          <w:b/>
          <w:color w:val="000000"/>
          <w:sz w:val="20"/>
        </w:rPr>
        <w:t>2. Fair Value Measurements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carrying amounts of cash equivalents, prepaid and other assets, accounts payable and accrued liabilities are considered to be representative of their respective fair values because of the short-term nature of those instruments. Investment securities are recorded at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1: Observable inputs such as quoted prices in active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Unobservable inputs in which there is little or no market data, which require the reporting entity to develop its own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commercial paper, corporate debt securities and U.S. government agencies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securities. We have no financial liabilities measured at fair value on a recurring basis. None of our non-financial assets and liabilities are recorded at fair value on a non-recurring basis. No transfers between levels have occurred during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measured at fair value on a recurring basis are as follows (in thousands):</w:t>
      </w:r>
    </w:p>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3231"/>
        <w:gridCol w:w="146"/>
        <w:gridCol w:w="211"/>
        <w:gridCol w:w="676"/>
        <w:gridCol w:w="146"/>
        <w:gridCol w:w="146"/>
        <w:gridCol w:w="357"/>
        <w:gridCol w:w="1143"/>
        <w:gridCol w:w="146"/>
        <w:gridCol w:w="146"/>
        <w:gridCol w:w="257"/>
        <w:gridCol w:w="824"/>
        <w:gridCol w:w="146"/>
        <w:gridCol w:w="146"/>
        <w:gridCol w:w="483"/>
        <w:gridCol w:w="793"/>
        <w:gridCol w:w="5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Quoted</w:t>
            </w:r>
            <w:r>
              <w:rPr>
                <w:rFonts w:ascii="Times New Roman" w:hAnsi="Times New Roman"/>
                <w:color w:val="000000"/>
                <w:sz w:val="20"/>
              </w:rPr>
              <w:t xml:space="preserve"> </w:t>
            </w:r>
            <w:r>
              <w:rPr>
                <w:rFonts w:ascii="Times New Roman" w:hAnsi="Times New Roman"/>
                <w:b/>
                <w:color w:val="000000"/>
                <w:sz w:val="20"/>
              </w:rPr>
              <w:t>Prices</w:t>
            </w:r>
            <w:r>
              <w:rPr>
                <w:rFonts w:ascii="Times New Roman" w:hAnsi="Times New Roman"/>
                <w:color w:val="000000"/>
                <w:sz w:val="20"/>
              </w:rPr>
              <w:t xml:space="preserve"> </w:t>
            </w:r>
            <w:r>
              <w:rPr>
                <w:rFonts w:ascii="Times New Roman" w:hAnsi="Times New Roman"/>
                <w:b/>
                <w:color w:val="000000"/>
                <w:sz w:val="20"/>
              </w:rPr>
              <w:t>in</w:t>
              <w:br/>
              <w:t>Active</w:t>
            </w:r>
            <w:r>
              <w:rPr>
                <w:rFonts w:ascii="Times New Roman" w:hAnsi="Times New Roman"/>
                <w:color w:val="000000"/>
                <w:sz w:val="20"/>
              </w:rPr>
              <w:t xml:space="preserve"> </w:t>
            </w:r>
            <w:r>
              <w:rPr>
                <w:rFonts w:ascii="Times New Roman" w:hAnsi="Times New Roman"/>
                <w:b/>
                <w:color w:val="000000"/>
                <w:sz w:val="20"/>
              </w:rPr>
              <w:t>Markets</w:t>
              <w:br/>
              <w:t>for</w:t>
            </w:r>
            <w:r>
              <w:rPr>
                <w:rFonts w:ascii="Times New Roman" w:hAnsi="Times New Roman"/>
                <w:color w:val="000000"/>
                <w:sz w:val="20"/>
              </w:rPr>
              <w:t xml:space="preserve"> </w:t>
            </w:r>
            <w:r>
              <w:rPr>
                <w:rFonts w:ascii="Times New Roman" w:hAnsi="Times New Roman"/>
                <w:b/>
                <w:color w:val="000000"/>
                <w:sz w:val="20"/>
              </w:rP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3231"/>
        <w:gridCol w:w="146"/>
        <w:gridCol w:w="211"/>
        <w:gridCol w:w="676"/>
        <w:gridCol w:w="146"/>
        <w:gridCol w:w="146"/>
        <w:gridCol w:w="403"/>
        <w:gridCol w:w="1097"/>
        <w:gridCol w:w="146"/>
        <w:gridCol w:w="146"/>
        <w:gridCol w:w="257"/>
        <w:gridCol w:w="824"/>
        <w:gridCol w:w="146"/>
        <w:gridCol w:w="146"/>
        <w:gridCol w:w="483"/>
        <w:gridCol w:w="793"/>
        <w:gridCol w:w="5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Quoted</w:t>
            </w:r>
            <w:r>
              <w:rPr>
                <w:rFonts w:ascii="Times New Roman" w:hAnsi="Times New Roman"/>
                <w:color w:val="000000"/>
                <w:sz w:val="20"/>
              </w:rPr>
              <w:t xml:space="preserve"> </w:t>
            </w:r>
            <w:r>
              <w:rPr>
                <w:rFonts w:ascii="Times New Roman" w:hAnsi="Times New Roman"/>
                <w:b/>
                <w:color w:val="000000"/>
                <w:sz w:val="20"/>
              </w:rPr>
              <w:t>Prices</w:t>
            </w:r>
            <w:r>
              <w:rPr>
                <w:rFonts w:ascii="Times New Roman" w:hAnsi="Times New Roman"/>
                <w:color w:val="000000"/>
                <w:sz w:val="20"/>
              </w:rPr>
              <w:t xml:space="preserve"> </w:t>
            </w:r>
            <w:r>
              <w:rPr>
                <w:rFonts w:ascii="Times New Roman" w:hAnsi="Times New Roman"/>
                <w:b/>
                <w:color w:val="000000"/>
                <w:sz w:val="20"/>
              </w:rPr>
              <w:t>in</w:t>
              <w:br/>
              <w:t>Active</w:t>
            </w:r>
            <w:r>
              <w:rPr>
                <w:rFonts w:ascii="Times New Roman" w:hAnsi="Times New Roman"/>
                <w:color w:val="000000"/>
                <w:sz w:val="20"/>
              </w:rPr>
              <w:t xml:space="preserve"> </w:t>
            </w:r>
            <w:r>
              <w:rPr>
                <w:rFonts w:ascii="Times New Roman" w:hAnsi="Times New Roman"/>
                <w:b/>
                <w:color w:val="000000"/>
                <w:sz w:val="20"/>
              </w:rPr>
              <w:t>Markets</w:t>
              <w:br/>
              <w:t>for</w:t>
            </w:r>
            <w:r>
              <w:rPr>
                <w:rFonts w:ascii="Times New Roman" w:hAnsi="Times New Roman"/>
                <w:color w:val="000000"/>
                <w:sz w:val="20"/>
              </w:rPr>
              <w:t xml:space="preserve"> </w:t>
            </w:r>
            <w:r>
              <w:rPr>
                <w:rFonts w:ascii="Times New Roman" w:hAnsi="Times New Roman"/>
                <w:b/>
                <w:color w:val="000000"/>
                <w:sz w:val="20"/>
              </w:rP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available-for-sale investments are detailed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4"/>
        <w:gridCol w:w="146"/>
        <w:gridCol w:w="1822"/>
        <w:gridCol w:w="146"/>
        <w:gridCol w:w="239"/>
        <w:gridCol w:w="767"/>
        <w:gridCol w:w="146"/>
        <w:gridCol w:w="146"/>
        <w:gridCol w:w="392"/>
        <w:gridCol w:w="644"/>
        <w:gridCol w:w="146"/>
        <w:gridCol w:w="146"/>
        <w:gridCol w:w="372"/>
        <w:gridCol w:w="664"/>
        <w:gridCol w:w="166"/>
        <w:gridCol w:w="146"/>
        <w:gridCol w:w="290"/>
        <w:gridCol w:w="930"/>
        <w:gridCol w:w="393"/>
      </w:tblGrid>
      <w:tr>
        <w:trPr/>
        <w:tc>
          <w:tcPr>
            <w:tcW w:w="2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 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4"/>
        <w:gridCol w:w="146"/>
        <w:gridCol w:w="1822"/>
        <w:gridCol w:w="146"/>
        <w:gridCol w:w="239"/>
        <w:gridCol w:w="767"/>
        <w:gridCol w:w="146"/>
        <w:gridCol w:w="146"/>
        <w:gridCol w:w="414"/>
        <w:gridCol w:w="622"/>
        <w:gridCol w:w="146"/>
        <w:gridCol w:w="146"/>
        <w:gridCol w:w="392"/>
        <w:gridCol w:w="644"/>
        <w:gridCol w:w="166"/>
        <w:gridCol w:w="146"/>
        <w:gridCol w:w="290"/>
        <w:gridCol w:w="930"/>
        <w:gridCol w:w="393"/>
      </w:tblGrid>
      <w:tr>
        <w:trPr/>
        <w:tc>
          <w:tcPr>
            <w:tcW w:w="2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 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212529"/>
          <w:sz w:val="20"/>
        </w:rPr>
      </w:pPr>
      <w:r>
        <w:rPr>
          <w:rFonts w:ascii="Times New Roman" w:hAnsi="Times New Roman"/>
          <w:color w:val="212529"/>
          <w:sz w:val="20"/>
        </w:rPr>
        <w:t>We evaluate our available-for-sale debt securities for credit losses when the amortized cost basis exceeds fair value. The credit-related portion of unrealized losses, and any subsequent improvements, are recorded in interest income through an allowance account. Unrealized gains and losses that are not credit-related are included in accumulated other comprehensive loss. When evaluating an investment for impairment, we review factors such as the severity of the impairment, changes in underlying credit ratings, our intent to sell or the likelihood that we would be required to sell the investment before its anticipated recovery in market value and the probability that the scheduled cash payments will continue to be made. We recorded no allowance for credit losses in the unaudited condensed consolidated statements of operations and comprehensive loss during the three and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all available-for-sale investments had a variety of effective maturity dates of less than one year. As of June 30, 2026, 12 out of 13 available-for-sale investments were in a gross unrealized loss position, all of which have held this status for less than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and December 31, 2025, accrued interest receivable on available-for-sale investments was $0.4 million for each period.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License, Collaboration and Other Agreements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Kyorin Pharmaceutical Co., Ltd.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2020, we entered into a collaboration and license agreement (Kyorin Agreement) with Kyorin Pharmaceutical Co., Ltd. (Kyorin) for the development and commercialization of efzofitimod for the treatment of interstitial lung disease (ILD) in Japan. Under the Kyorin Agreement, Kyorin received an exclusive right to develop and commercialize efzofitimod in Japan for all forms of ILD, and was obligated to fund all research, development, regulatory, marketing and commercialization activities in Japan.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12, 2026, we received notice of termination of the Kyorin Agreement with Kyorin. Kyorin elected to terminate the Kyorin Agreement without cause in accordance with the terms of the Kyorin Agreement, and the termination became effective on July 30, 2026 (the Termination Date). Following the Termination Date, the rights to develop and commercialize efzofitimod in Japan for all forms of ILD have reverted to us. Consequently, we hold the rights to develop and commercialize efzofitimod globally.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Commitments and Contingencies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both"/>
        <w:rPr>
          <w:rFonts w:ascii="Times New Roman" w:hAnsi="Times New Roman"/>
          <w:sz w:val="20"/>
        </w:rPr>
      </w:pPr>
      <w:r>
        <w:rPr>
          <w:rFonts w:ascii="Times New Roman" w:hAnsi="Times New Roman"/>
          <w:i/>
          <w:color w:val="000000"/>
          <w:sz w:val="20"/>
        </w:rPr>
        <w:t>Corporate Headquarters Facility Lease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2022, we entered into a non-cancelable facility lease that is subject to base lease payments that started at $5.75 per square foot of rentable area per month for the first 12 months of the lease and which escalate 3.0% annually over the term of the lease, and additional charges for common area maintenance and other costs. The term of the lease (the Lease Term) commenced on March 20, 2023 (the Lease Commencement Date) and will continue for 124 months from the Lease Commencement Date. We also have one option to extend the Lease Term for five years. In April 2024, we entered into a lease amendment for additional common area amenities, effective as of June 2023. The amendment increased the total rentable square feet from 23,696 rentable square feet to 24,866 rentable square feet. We provided a $0.7 million security deposit in the form of a letter of credit which is included in restricted cash as of June 30, 2026.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Future minimum payments under the facility lease and a reconciliation to the operating lease liability as of June 30, 2026 were as follows (in thousands): </w:t>
      </w:r>
    </w:p>
    <w:tbl>
      <w:tblPr>
        <w:tblW w:w="6718" w:type="dxa"/>
        <w:jc w:val="left"/>
        <w:tblInd w:w="0" w:type="dxa"/>
        <w:tblLayout w:type="fixed"/>
        <w:tblCellMar>
          <w:top w:w="28" w:type="dxa"/>
          <w:left w:w="28" w:type="dxa"/>
          <w:bottom w:w="28" w:type="dxa"/>
          <w:right w:w="28" w:type="dxa"/>
        </w:tblCellMar>
      </w:tblPr>
      <w:tblGrid>
        <w:gridCol w:w="4771"/>
        <w:gridCol w:w="146"/>
        <w:gridCol w:w="378"/>
        <w:gridCol w:w="1212"/>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each of the three months ended June 30, 2026 and 2025, we recorded an operating lease expense of $0.4 million. For each of the six months ended June 30, 2026 and 2025, we recorded an operating lease expense of $0.8 million. As of June 30, 2026, the weighted-average remaining lease term was 7.1 years and the weighted average discount rate was 8.8%.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Financing Leases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In April 2022, we entered into a master financing lease agreement. Under this master agreement, we entered into various financing lease agreements from July 2022 through November 2023 to lease various research and development and information technology equipment over a 48-month term. Future minimum payments under the financing lease and reconciliation to the financing lease liability as of June 30, 2026 were as follows (in thousands): </w:t>
      </w:r>
    </w:p>
    <w:tbl>
      <w:tblPr>
        <w:tblW w:w="6703" w:type="dxa"/>
        <w:jc w:val="left"/>
        <w:tblInd w:w="0" w:type="dxa"/>
        <w:tblLayout w:type="fixed"/>
        <w:tblCellMar>
          <w:top w:w="28" w:type="dxa"/>
          <w:left w:w="28" w:type="dxa"/>
          <w:bottom w:w="28" w:type="dxa"/>
          <w:right w:w="28" w:type="dxa"/>
        </w:tblCellMar>
      </w:tblPr>
      <w:tblGrid>
        <w:gridCol w:w="4771"/>
        <w:gridCol w:w="146"/>
        <w:gridCol w:w="480"/>
        <w:gridCol w:w="1095"/>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financing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 weighted-average remaining lease term was 0.8 years and the weighted-average discount rate was 8.4%. As of June 30, 2026, we have a $0.8 million deposit held as collateral for the leased equipment, and this deposit is included in restricted cash. </w:t>
      </w:r>
    </w:p>
    <w:p>
      <w:pPr>
        <w:pStyle w:val="TextBody"/>
        <w:bidi w:val="0"/>
        <w:spacing w:before="240" w:after="283"/>
        <w:jc w:val="both"/>
        <w:rPr>
          <w:rFonts w:ascii="Times New Roman" w:hAnsi="Times New Roman"/>
          <w:sz w:val="20"/>
        </w:rPr>
      </w:pPr>
      <w:r>
        <w:rPr>
          <w:rFonts w:ascii="Times New Roman" w:hAnsi="Times New Roman"/>
          <w:b/>
          <w:color w:val="000000"/>
          <w:sz w:val="20"/>
        </w:rPr>
        <w:t>Litigation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9, 2025 and October 22, 2025, two substantially similar putative securities class action complaints were filed in the U.S. District Court for the Southern District of California, naming aTyr Pharma, Inc. and our Chief Executive Officer, Sanjay Shukla. The complaints assert that we and Mr. Shukla violated Section 10(b) of the Exchange Act of 1934, as amended (the Exchange Act), and SEC Rule 10b-5, by making materially false or misleading statements related to efzofitimod. The complaints also assert that Mr. Shukla violated Section 20(a) of the Exchange Act. Plaintiffs seek class certification, an award of unspecified damages, and award of reasonable costs and expenses, including attorneys’ fees and expert fees, and further relief as the court may deem just and proper. On February 9, 2026, the court consolidated the two cases and appointed co-lead plaintiffs to oversee the litigation. On May 1, 2026, co-lead plaintiffs filed an Amended Consolidated Complaint.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Consolidated Complaint is based on the same underlying allegations as the original complaints, asserts the same claims and seeks the same relief, and adds our Chief Financial Officer, Jill M. Broadfoot, as a defendant. On July 17, 2026, we moved to dismiss the Amended Consolidated Compliant. Under the current schedule, any opposition to a motion to dismiss is due August 28, 2026, with any reply due September 28,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make provisions for liabilities when they are both probable that a liability has been incurred and the amount can be reasonably estimated. No such liability has been recorded related to this matter. With regard to legal fees, such as attorney fees related to this matter or any other legal matters, we recognize such costs as incurred.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Stockholders’ Equity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At the Market Offering Programs</w:t>
      </w:r>
    </w:p>
    <w:p>
      <w:pPr>
        <w:pStyle w:val="TextBody"/>
        <w:bidi w:val="0"/>
        <w:spacing w:before="120" w:after="283"/>
        <w:jc w:val="both"/>
        <w:rPr>
          <w:rFonts w:ascii="Times New Roman" w:hAnsi="Times New Roman"/>
          <w:sz w:val="20"/>
        </w:rPr>
      </w:pPr>
      <w:r>
        <w:rPr>
          <w:rFonts w:ascii="Times New Roman" w:hAnsi="Times New Roman"/>
          <w:color w:val="000000"/>
          <w:sz w:val="20"/>
        </w:rPr>
        <w:t>In April 2022, we entered into an Open Market Sale Agreement</w:t>
      </w:r>
      <w:r>
        <w:rPr>
          <w:rFonts w:ascii="Times New Roman" w:hAnsi="Times New Roman"/>
          <w:color w:val="000000"/>
          <w:sz w:val="13"/>
        </w:rPr>
        <w:t>SM</w:t>
      </w:r>
      <w:r>
        <w:rPr>
          <w:rFonts w:ascii="Times New Roman" w:hAnsi="Times New Roman"/>
          <w:color w:val="000000"/>
          <w:sz w:val="20"/>
        </w:rPr>
        <w:t xml:space="preserve"> with Jefferies implementing the Jefferies ATM Offering Program. In December 2024, we amended the Jefferies ATM Offering Program. Under the Jefferies ATM Offering Program we may offer and sell, from time to time and at our option, up to an aggregate of $215.0 million of shares of our common stock (inclusive of $65.0 million of sales made prior to the amendment) through Jefferies, acting as sales agent. Jefferies is entitled to a fixed commission rate of up to 3.0% of the gross sales proceeds of shares sold under the Jefferies ATM Offering Program. During the year ended December 31, 2025, we sold an aggregate of 13,887,177 shares of common stock at a weighted-average price of $4.94 per share for net proceeds of approximately $66.4 million under the Jefferies ATM Offering Program. We did not utilize the Jefferies ATM Offering Program during the six months ended June 30, 2026.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Stock Reserved for Future Issuance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Common stock reserved for future issuance was as follows:</w:t>
      </w:r>
    </w:p>
    <w:tbl>
      <w:tblPr>
        <w:tblW w:w="6353" w:type="dxa"/>
        <w:jc w:val="left"/>
        <w:tblInd w:w="0" w:type="dxa"/>
        <w:tblLayout w:type="fixed"/>
        <w:tblCellMar>
          <w:top w:w="28" w:type="dxa"/>
          <w:left w:w="28" w:type="dxa"/>
          <w:bottom w:w="28" w:type="dxa"/>
          <w:right w:w="28" w:type="dxa"/>
        </w:tblCellMar>
      </w:tblPr>
      <w:tblGrid>
        <w:gridCol w:w="4741"/>
        <w:gridCol w:w="146"/>
        <w:gridCol w:w="157"/>
        <w:gridCol w:w="1118"/>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13,976,293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2015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6,164,361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2022 inducement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20,846,328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stock option activity under all equity incentive plans for the six months ended June 30, 2026: </w:t>
      </w:r>
    </w:p>
    <w:p>
      <w:pPr>
        <w:pStyle w:val="TextBody"/>
        <w:bidi w:val="0"/>
        <w:jc w:val="left"/>
        <w:rPr/>
      </w:pPr>
      <w:r>
        <w:rPr/>
        <w:t> </w:t>
      </w:r>
    </w:p>
    <w:tbl>
      <w:tblPr>
        <w:tblW w:w="6625" w:type="dxa"/>
        <w:jc w:val="left"/>
        <w:tblInd w:w="0" w:type="dxa"/>
        <w:tblLayout w:type="fixed"/>
        <w:tblCellMar>
          <w:top w:w="28" w:type="dxa"/>
          <w:left w:w="28" w:type="dxa"/>
          <w:bottom w:w="28" w:type="dxa"/>
          <w:right w:w="28" w:type="dxa"/>
        </w:tblCellMar>
      </w:tblPr>
      <w:tblGrid>
        <w:gridCol w:w="3166"/>
        <w:gridCol w:w="146"/>
        <w:gridCol w:w="157"/>
        <w:gridCol w:w="1118"/>
        <w:gridCol w:w="166"/>
        <w:gridCol w:w="146"/>
        <w:gridCol w:w="416"/>
        <w:gridCol w:w="919"/>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Outstanding</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assumptions used in the Black-Scholes option pricing model to determine the fair value of the employee stock option grants were as follows: </w:t>
      </w:r>
    </w:p>
    <w:tbl>
      <w:tblPr>
        <w:tblW w:w="8150" w:type="dxa"/>
        <w:jc w:val="left"/>
        <w:tblInd w:w="0" w:type="dxa"/>
        <w:tblLayout w:type="fixed"/>
        <w:tblCellMar>
          <w:top w:w="28" w:type="dxa"/>
          <w:left w:w="28" w:type="dxa"/>
          <w:bottom w:w="28" w:type="dxa"/>
          <w:right w:w="28" w:type="dxa"/>
        </w:tblCellMar>
      </w:tblPr>
      <w:tblGrid>
        <w:gridCol w:w="2131"/>
        <w:gridCol w:w="146"/>
        <w:gridCol w:w="865"/>
        <w:gridCol w:w="171"/>
        <w:gridCol w:w="1588"/>
        <w:gridCol w:w="146"/>
        <w:gridCol w:w="1561"/>
        <w:gridCol w:w="146"/>
        <w:gridCol w:w="139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6.08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 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 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 4.5%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 – 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 – 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 – 77.5%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our restricted stock unit activity under all equity incentive plans for the six months ended June 30, 2026:</w:t>
      </w:r>
    </w:p>
    <w:tbl>
      <w:tblPr>
        <w:tblW w:w="7451" w:type="dxa"/>
        <w:jc w:val="left"/>
        <w:tblInd w:w="0" w:type="dxa"/>
        <w:tblLayout w:type="fixed"/>
        <w:tblCellMar>
          <w:top w:w="28" w:type="dxa"/>
          <w:left w:w="28" w:type="dxa"/>
          <w:bottom w:w="28" w:type="dxa"/>
          <w:right w:w="28" w:type="dxa"/>
        </w:tblCellMar>
      </w:tblPr>
      <w:tblGrid>
        <w:gridCol w:w="2821"/>
        <w:gridCol w:w="146"/>
        <w:gridCol w:w="327"/>
        <w:gridCol w:w="1758"/>
        <w:gridCol w:w="166"/>
        <w:gridCol w:w="146"/>
        <w:gridCol w:w="528"/>
        <w:gridCol w:w="1168"/>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Outstanding</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allocation of stock-based compensation for all options and restricted stock units and stock issued pursuant to our employee stock purchase plan is as follows (in thousands):</w:t>
      </w:r>
    </w:p>
    <w:tbl>
      <w:tblPr>
        <w:tblW w:w="9086" w:type="dxa"/>
        <w:jc w:val="left"/>
        <w:tblInd w:w="0" w:type="dxa"/>
        <w:tblLayout w:type="fixed"/>
        <w:tblCellMar>
          <w:top w:w="28" w:type="dxa"/>
          <w:left w:w="28" w:type="dxa"/>
          <w:bottom w:w="28" w:type="dxa"/>
          <w:right w:w="28" w:type="dxa"/>
        </w:tblCellMar>
      </w:tblPr>
      <w:tblGrid>
        <w:gridCol w:w="3451"/>
        <w:gridCol w:w="146"/>
        <w:gridCol w:w="298"/>
        <w:gridCol w:w="807"/>
        <w:gridCol w:w="206"/>
        <w:gridCol w:w="206"/>
        <w:gridCol w:w="298"/>
        <w:gridCol w:w="807"/>
        <w:gridCol w:w="146"/>
        <w:gridCol w:w="146"/>
        <w:gridCol w:w="271"/>
        <w:gridCol w:w="734"/>
        <w:gridCol w:w="187"/>
        <w:gridCol w:w="187"/>
        <w:gridCol w:w="271"/>
        <w:gridCol w:w="73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Subsequent Events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On August 7, 2026, our board of directors approved the implementation of a corporate restructuring and program prioritization plan (the Restructuring Plan) to streamline our operations, and conserve capital prior to the potential initiation of a new Phase 3 study of efzofitimod in pulmonary sarcoidosis (the Planned Phase 3 Study). In connection with the Restructuring Plan, we committed to a reduction in our total workforce by approximately 60% to 20 full-time employees. We began notifying affected employees on August 7, 2026. We estimate that we will record charges of approximately $4.2 million for employee severance, employee health benefit obligations and other related termination benefits. Severance payments are expected to be paid in full between August 2026 and September 2027. The charges that we expect to incur in connection with, or as a result of, the Restructuring Plan, are subject to a number of assumptions, and actual results may differ materially. We may also incur other charges or cash expenditures not currently contemplated due to events that may occur as a result of, or associated with, the Restructuring Plan.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should be read in conjunction with our unaudited condensed consolidated financial statements and accompanying notes included in this Quarterly Report on Form 10-Q (Quarterly Report), our audited consolidated financial statements and accompanying notes thereto for the fiscal year ended December 31, 2025 and the related Management’s Discussion and Analysis of Financial Condition and Results of Operations, which are contained in our Annual Report on Form 10-K for the year ended December 31, 2025, filed with the Securities and Exchange Commission (SEC), on March 5, 2026 (2025 Annual Report).</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This Quarterly Report contains “forward-looking statements” within the meaning of Section 27A of the Securities Act of 1933, as amended (the Securities Act), and Section 21E of the Securities Exchange Act of 1934, as amended (the Exchange Act). Such forward 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Part II, Item 1A, and elsewhere in this Quarterly Report. Except as required by law, we undertake no obligation to update these forward-looking statements to reflect events or circumstances after the date of this Quarterly Report or to reflect actual outcomes.</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Our discovery platform is focused on unlocking hidden therapeutic intervention points by uncovering signaling pathways driven by our proprietary library of domains derived from all 20 tRNA synthetases.</w:t>
      </w:r>
    </w:p>
    <w:p>
      <w:pPr>
        <w:pStyle w:val="TextBody"/>
        <w:bidi w:val="0"/>
        <w:spacing w:before="240" w:after="283"/>
        <w:jc w:val="both"/>
        <w:rPr>
          <w:rFonts w:ascii="Times New Roman" w:hAnsi="Times New Roman"/>
          <w:sz w:val="20"/>
        </w:rPr>
      </w:pPr>
      <w:r>
        <w:rPr>
          <w:rFonts w:ascii="Times New Roman" w:hAnsi="Times New Roman"/>
          <w:i/>
          <w:color w:val="000000"/>
          <w:sz w:val="20"/>
        </w:rPr>
        <w:t>Efzofitimod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lead therapeutic candidate is efzofitimod, a novel biologic immunomodulator in clinical development for the treatment of interstitial lung disease (ILD), a group of immune-mediated disorders that can cause inflammation and fibrosis, or scarring, of the lungs. Efzofitimod is a tRNA synthetase derived therapy that selectively modulates activated myeloid cells through neuropilin-2 (NRP2) to resolve aberrant inflammation without immune suppression and potentially prevent the progression of fibrosis.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2025, we announced top-line data from a global Phase 3 randomized, double-blind, placebo-controlled clinical trial to evaluate the efficacy and safety of efzofitimod in patients with pulmonary sarcoidosis (the EFZO-FIT study). The EFZO-FIT study was a 52-week study in 268 patients with pulmonary sarcoidosis consisting of three parallel cohorts randomized equally to either 3.0 mg/kg or 5.0 mg/kg of efzofitimod or placebo dosed intravenously once every four weeks for a total of 12 doses, with a 4-week safety follow-up. The study design incorporated a protocol guided steroid taper in the first 12 weeks of the study, followed by continued taper or rescue until week 48. The study did not meet its primary endpoint of change from baseline in mean daily oral corticosteroid (OCS)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dose at week 48. The change from baseline in mean daily OCS dose reduced to an average of 2.79 mg for 5.0 mg/kg efzofitimod vs 3.52 mg for placebo (p=0.3313). The study’s statistical analysis plan was designed on a hierarchical assessment basis, as such since the primary endpoint was not met, all subsequent statistical testing is reported as nominal findings. The study demonstrated a clinically meaningful improvement in the King’s Sarcoidosis Questionnaire (KSQ)-Lung score at week 48 for 5.0 mg/kg efzofitimod compared to placebo (p=0.0479), with a responder analysis of patients who achieved complete steroid withdrawal at week 48 with an improved KSQ-Lung score also showing improvement in patients treated with 5.0 mg/kg efzofitimod compared to placebo (p=0.0196). Lung function as measured by forced vital capacity (FVC) at week 48 was maintained in all groups. Efzofitimod was generally well-tolerated at both the 3.0 mg/kg and 5.0 mg/kg doses, consistent with previously observed safety profile in all trials conducted to date. At the European Respiratory Society (ERS) Congress in late September 2025, we announced additional findings from the EFZO-FIT study, including analyses of additional pre-specified outcomes that demonstrated clinical improvements in mean change from baseline in the Fatigue Assessment (FAS) Total Score (p=0.0226) and KSQ-General Health score (p=0.0197) in patients treated with 5.0 mg/kg efzofitimod versus placebo. Treatment with efzofitimod was also associated with a trend toward a greater proportion of patients achieving steroid-free status for at least six months. Based on the trial findings, which we believe indicate drug activity for efzofitimod as evidenced by improvements across multiple clinically relevant efficacy endpoints, we held a Type C meeting with the FDA in mid-April 2026 to review the results of the EFZO-FIT study and determine the path forward for efzofitimod in pulmonary sarcoidosis. In May 2026, we received the official meeting minutes from the FDA.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feedback from the FDA, we plan to continue the development of efzofitimod in pulmonary sarcoidosis in a new Phase 3 study in patients with chronic, symptomatic pulmonary sarcoidosis with restrictive lung disease utilizing FVC as the primary endpoint of the study and the KSQ-Lung score as the key secondary endpoint (the Planned Phase 3 Study). We chose these endpoints based on the FDA’s indication that FVC and KSQ-Lung are direct measures of how patients suffering from pulmonary sarcoidosis function and feel, and we concluded FVC to be a more appropriate primary endpoint at this time pending further content validation work for KSQ-Lung as recommended by the FDA. We determined the patient population for the Planned Phase 3 Study, those with restrictive lung disease, based on data from the EFZO-FIT study which included 44 patients with restrictive lung disease (defined as FVC percent predicted ≤ 80%) and showed a difference of 124 ml in change from baseline in FVC between restrictive patients treated with 5.0 mg/kg efzofitimod and placebo.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our discussion with the FDA regarding the benefit risk profile for efzofitimod, we plan to increase the frequency of dosing of 5.0 mg/kg efzofitimod or placebo from once every four weeks in past trials to once every three weeks in the Planned Phase 3 Study. We are choosing the dosing regimen based on the FDA’s acknowledgment of its reasonableness from a clinical pharmacology perspective, subject to inclusion of adequate safety monitoring and risk mitigation procedures. We plan to include additional risk mitigation strategies, enhanced safety surveillance for the potential development of anti-synthetase syndrome and a data safety monitoring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Planned Phase 3 Study is expected to be a global, randomized, double-blind, placebo-controlled study to evaluate the efficacy and safety of efzofitimod in patients with moderate to severe pulmonary sarcoidosis. The Planned Phase 3 Study is a 54-week study and will consist of two parallel cohorts randomized equally to either 5.0 mg/kg efzofitimod or placebo dosed intravenously once every 3 weeks for a total of 17 doses. The Planned Phase 3 Study is intended to enroll up to approximately 372 patients with symptomatic pulmonary sarcoidosis with restrictive lung disease who are receiving a stable dose of ≤ 5.0 mg daily oral corticosteroid and/or a background immunosuppressant. All background treatment will remain stable throughout the duration of the Planned Phase 3 Study. The primary endpoint of the Planned Phase 3 Study will be change from baseline in FVC at week 48 and the key secondary endpoint will be change from baseline in the KSQ-Lung score at week 48.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Phase 2 proof-of-concept clinical trial of efzofitimod (the EFZO-CONNECT study) is a randomized, double-blind placebo-controlled proof-of-concept study to evaluate the efficacy, safety and tolerability of efzofitimod in patients with SSc-ILD. This is a 28-week study with three parallel cohorts randomized 2:2:1 to either 270 mg or 450 mg of efzofitimod or placebo dosed intravenously monthly for a total of six doses. The study intended to enroll up to 25 patients at multiple centers in the United States. The objective of the study is to evaluate the efficacy of multiple doses of IV efzofitimod on pulmonary, cutaneous (limited or diffuse) and systemic manifestations in patients with SSc-ILD. The primary endpoint is reduction in FVC. Secondary endpoints include certain measures regarding safety and tolerability. In July 2024, we amended the study to add an open-label extension (OLE) to patients. Patients who complete the study and wish to receive ongoing treatment with efzofitimod are eligible to participate in the 24-week OLE. In June 2025, we announced interim data from the study showing three out of four efzofitimod-treated diffuse SSc-ILD patients showed clinically important improvement based on the modified Rodnan Skin Score (mRSS) assessment at 12 weeks and that efzofitimod was generally well-tolerated at all doses. We have completed enrollment of the study with 23 patients. Topline data are anticipated in the first quarter of 2027.</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Discovery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Using efzofitimod as a model, we have developed a process to advance novel tRNA synthetase domains from a concept to therapeutic candidate. This process leverages our early discovery work as well as current scientific understanding of tRNA synthetase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evolution,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are working to identify new tRNA synthetase based drug candidates through our internal discovery efforts and external collaboration efforts.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tRNA Synthetase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Utilizing our novel approach, we have identified target receptors for domains of certain additional tRNA synthetases, gaining insights into their potential biological activity in immunology and fibrosis. These fragments form the basis of our additional pipeline candidates. We plan to further elucidate the therapeutic potential of these candidates through mechanistic investigations, including </w:t>
      </w:r>
      <w:r>
        <w:rPr>
          <w:rFonts w:ascii="Times New Roman" w:hAnsi="Times New Roman"/>
          <w:i/>
          <w:color w:val="000000"/>
          <w:sz w:val="20"/>
        </w:rPr>
        <w:t xml:space="preserve">in vitro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preclinical studies.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ATYR0101</w:t>
      </w:r>
    </w:p>
    <w:p>
      <w:pPr>
        <w:pStyle w:val="TextBody"/>
        <w:bidi w:val="0"/>
        <w:spacing w:before="120" w:after="283"/>
        <w:jc w:val="both"/>
        <w:rPr>
          <w:rFonts w:ascii="Times New Roman" w:hAnsi="Times New Roman"/>
          <w:sz w:val="20"/>
        </w:rPr>
      </w:pPr>
      <w:r>
        <w:rPr>
          <w:rFonts w:ascii="Times New Roman" w:hAnsi="Times New Roman"/>
          <w:color w:val="000000"/>
          <w:sz w:val="20"/>
        </w:rPr>
        <w:t>ATYR0101 is a fusion protein derived from a domain of aspartyl-tRNA synthetase (DARS) that is engineered with a human Fc region to extend its serum half-life. The molecule possesses a unique mechanism of action focused on the selective elimination of activated myofibroblasts, which are the primary cellular drivers of pathological extracellular matrix (ECM) deposition in fibrotic diseases. ATYR0101 specifically targets Latent TGF-β Binding Protein-1 (LTBP-1) within the ECM, binding to a region that encompasses the fibrillin-1 binding domain at the C-terminus. LTBP-1 serves a dual role in matrix architecture by organizing structural proteins and modulating the signaling of Transforming Growth Factor-beta (TGF-β) through a complex mechanosensory apparatus. Early data suggest ATYR0101 exerts its antifibrotic effects by inducing apoptosis of myofibroblasts in a TGFβ dependent manner. We believe ATYR0101 may have broad therapeutic applications in multiple fibrotic diseases, such as pulmonary fibrosis, SSc, liver fibrosis and kidney fibrosis. We have initiated IND-enabling activities for ATYR0101</w:t>
      </w:r>
      <w:r>
        <w:rPr>
          <w:rFonts w:ascii="Times New Roman" w:hAnsi="Times New Roman"/>
          <w:color w:val="212529"/>
          <w:sz w:val="20"/>
        </w:rPr>
        <w:t>.</w:t>
      </w:r>
    </w:p>
    <w:p>
      <w:pPr>
        <w:pStyle w:val="TextBody"/>
        <w:bidi w:val="0"/>
        <w:spacing w:before="240" w:after="283"/>
        <w:jc w:val="both"/>
        <w:rPr>
          <w:rFonts w:ascii="Times New Roman" w:hAnsi="Times New Roman"/>
          <w:sz w:val="20"/>
        </w:rPr>
      </w:pPr>
      <w:r>
        <w:rPr>
          <w:rFonts w:ascii="Times New Roman" w:hAnsi="Times New Roman"/>
          <w:i/>
          <w:color w:val="000000"/>
          <w:sz w:val="20"/>
        </w:rPr>
        <w:t>Corporate Restructuring and Program Prioritization</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On August 7, 2026, our board of directors approved the implementation of a corporate restructuring and program prioritization plan (the Restructuring Plan) to streamline our operations, and conserve capital prior to the potential initiation of the Planned Phase 3 Study. We submitted a protocol to our existing investigational new drug (IND) application for the Planned Phase 3 Study to the FDA in June 2026, and we await comments from the FDA on the protocol by the end of August 2026. To conduct the Planned Phase 3 Study, in addition to implementing the Restructuring Plan, we will need to obtain additional capital through equity or debt offerings, grant funding, collaborations, strategic partnerships and/or licensing arrangements. </w:t>
      </w:r>
    </w:p>
    <w:p>
      <w:pPr>
        <w:pStyle w:val="TextBody"/>
        <w:bidi w:val="0"/>
        <w:jc w:val="both"/>
        <w:rPr>
          <w:rFonts w:ascii="Times New Roman" w:hAnsi="Times New Roman"/>
          <w:color w:val="000000"/>
          <w:sz w:val="20"/>
        </w:rPr>
      </w:pPr>
      <w:r>
        <w:rPr>
          <w:rFonts w:ascii="Times New Roman" w:hAnsi="Times New Roman"/>
          <w:color w:val="000000"/>
          <w:sz w:val="20"/>
        </w:rPr>
        <w:t>In connection with the Restructuring Plan, we committed to a reduction in our total workforce by approximately 60% to 20 full-time employees, and we estimate that the Restructuring Plan will reduce annualized operating expenses by approximately $13 million, beginning in the fourth quarter of 2026. We began notifying affected employees on August 7, 2026 and expect the Restructuring Plan to be substantially completed in the second half of 2026. We estimate that we will record charges of approximately $4.2 million for employee severance, employee health benefit obligations and other related termination benefits. Severance payments are expected to be paid in full between August 2026 and September 2027, and we expect to incur the charges in the third quarter of 2026. The charges that we expect to incur in connection with, or as a result of, the Restructuring Plan, are subject to a number of assumptions, and actual results may differ materially. We may also incur other charges or cash expenditures not currently contemplated due to events that may occur as a result of, or associated with, the Restructuring Plan.</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losses and negative cash flows from operations since our inception. As of June 30, 2026, we had an accumulated deficit of $627.3 million, and we expect to continue to incur net losses for the foreseeable future. As of June 30, 2026, we had cash, cash equivalents, restricted cash and available-for-sale investments of $58.9 million. We believe that our current cash, cash equivalents, restricted cash and available-for-sale investments, will be sufficient to meet our material cash requirements from known contractual and other obligations for a period of at least one year from the date of this Quarterly Report. In addition to the factors discussed under “Material Cash Requirements,” our ability to fund our longer-term operating needs, including the completion of the Planned Phase 3 Study for efzofitimod in pulmonary sarcoidosis, will depend on our ability to raise additional funding through equity or debt offerings, grant funding, collaborations, strategic partnerships and/or licensing arrangements, and other factors, including those discussed in Part II, Item 1A. “Risk Factors—Risks related to our financial condition and need for additional capital—We will need to raise additional capital or enter into strategic partnering relationships to fund our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Sources of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our inception through June 30, 2026, we have financed our operations primarily through the sale of equity securities and convertible debt, venture debt, term loans and through license and collaboration agreement revenues. In recent years, we have relied primarily on our “at-the-market” offering program (the Jefferies ATM Offering Program) implemented through our Open Market Sale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Agreement</w:t>
      </w:r>
      <w:r>
        <w:rPr>
          <w:rFonts w:ascii="Times New Roman" w:hAnsi="Times New Roman"/>
          <w:color w:val="000000"/>
          <w:sz w:val="13"/>
        </w:rPr>
        <w:t>SM</w:t>
      </w:r>
      <w:r>
        <w:rPr>
          <w:rFonts w:ascii="Times New Roman" w:hAnsi="Times New Roman"/>
          <w:color w:val="000000"/>
          <w:sz w:val="20"/>
        </w:rPr>
        <w:t xml:space="preserve"> with Jefferies LLC (Jefferies) for financing our activities. Given ongoing volatility in capital markets generally, the price of our common stock has fluctuated materially since the start of 2025 and, since the announcement of top-line data from the EFZO-FIT study particularly, we have experienced a material decline in our stock price. If markets remain volatile or our stock price continues to remain depressed, this may negatively affect our ability to generate cash from financing activities in future periods, including negatively affecting our ability to generate sufficient funds through our Jefferies ATM Offering Program.</w:t>
      </w:r>
    </w:p>
    <w:p>
      <w:pPr>
        <w:pStyle w:val="TextBody"/>
        <w:bidi w:val="0"/>
        <w:spacing w:before="240" w:after="283"/>
        <w:jc w:val="both"/>
        <w:rPr>
          <w:rFonts w:ascii="Times New Roman" w:hAnsi="Times New Roman"/>
          <w:sz w:val="20"/>
        </w:rPr>
      </w:pPr>
      <w:r>
        <w:rPr>
          <w:rFonts w:ascii="Times New Roman" w:hAnsi="Times New Roman"/>
          <w:i/>
          <w:color w:val="000000"/>
          <w:sz w:val="20"/>
        </w:rPr>
        <w:t>At-the-Market Offering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In April 2022, we entered into an Open Market Sale Agreement</w:t>
      </w:r>
      <w:r>
        <w:rPr>
          <w:rFonts w:ascii="Times New Roman" w:hAnsi="Times New Roman"/>
          <w:color w:val="000000"/>
          <w:sz w:val="13"/>
        </w:rPr>
        <w:t>SM</w:t>
      </w:r>
      <w:r>
        <w:rPr>
          <w:rFonts w:ascii="Times New Roman" w:hAnsi="Times New Roman"/>
          <w:color w:val="000000"/>
          <w:sz w:val="20"/>
        </w:rPr>
        <w:t xml:space="preserve"> with Jefferies implementing the Jefferies ATM Offering Program. In December 2024, we amended the Jefferies ATM Offering Program. Under the Jefferies ATM Offering Program, we may offer and sell, from time to time and at our option, up to an aggregate of $215.0 million of shares of our common stock (inclusive of $65.0 million of sales made prior to the amendment) through Jefferies, acting as sales agent. Jefferies is entitled to a fixed commission rate of up to 3.0% of the gross sales proceeds of shares sold under the Jefferies ATM Offering Program. During the year ended December 31, 2025, we sold an aggregate of 13,887,177 shares of common stock at a weighted-average price of $4.94 per share for net proceeds of approximately $66.4 million under the Jefferies ATM Offering Program. We did not utilize the Jefferies ATM Offering Program during the six months ended June 30, 2026.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summary of the net cash flow activity for each of the periods indicated (in thousands):</w:t>
      </w:r>
    </w:p>
    <w:p>
      <w:pPr>
        <w:pStyle w:val="TextBody"/>
        <w:bidi w:val="0"/>
        <w:jc w:val="left"/>
        <w:rPr/>
      </w:pPr>
      <w:r>
        <w:rPr/>
        <w:t> </w:t>
      </w:r>
    </w:p>
    <w:tbl>
      <w:tblPr>
        <w:tblW w:w="7577" w:type="dxa"/>
        <w:jc w:val="left"/>
        <w:tblInd w:w="0" w:type="dxa"/>
        <w:tblLayout w:type="fixed"/>
        <w:tblCellMar>
          <w:top w:w="28" w:type="dxa"/>
          <w:left w:w="28" w:type="dxa"/>
          <w:bottom w:w="28" w:type="dxa"/>
          <w:right w:w="28" w:type="dxa"/>
        </w:tblCellMar>
      </w:tblPr>
      <w:tblGrid>
        <w:gridCol w:w="4636"/>
        <w:gridCol w:w="146"/>
        <w:gridCol w:w="228"/>
        <w:gridCol w:w="796"/>
        <w:gridCol w:w="179"/>
        <w:gridCol w:w="157"/>
        <w:gridCol w:w="228"/>
        <w:gridCol w:w="796"/>
        <w:gridCol w:w="4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Net cash used in operating activities for the six months ended June 30, 2026 and 2025 was $21.9 million and $29.3 million, respectively. The net cash used during the six months ended June 30, 2026 was primarily attributable to discovery costs for our preclinical product candidates and for efzofitimod development, which includes certain close-out costs relating to the EFZO-FIT study as well as ongoing costs for the EFZO-CONNECT study. The net cash used during the six months ended June 30, 2025 was primarily for efzofitimod development, including pre-commercialization activities and manufacturing costs incurred prior to the announcement of top-line data from the EFZO-FIT study. We expect cash used in operating activities will fluctuate and be dependent upon our ability to obtain additional capital through equity or debt offerings, grant funding, collaborations, strategic partnerships and/or licensing arrangements to enable us to conduct the Planned Phase 3 Study for efzofitimod in pulmonary sarcoidosis. </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Net cash provided by (used in) investing activities for the six months ended June 30, 2026 and 2025 was $26.8 million and $(1.1) million, respectively. The fluctuation in net cash provided by or used in investing activities resulted primarily from the timing differences in investment purchases, sales and maturities, and the fluctuation of our portfolio mix between cash equivalents and investment holdings. The average term to maturity in our investment portfolio is less than one year.</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Net cash (used in) provided by financing activities for the six months ended June 30, 2026 and 2025 was $(0.3) million and $36.5 million, respectively. Net cash used in financing activities for the six months ended June 30, 2026 primarily consisted of principal payments on our financing lease agreement. Net cash provided by financing activities for the six months ended June 30, 2025 primarily consisted of $36.7 million in proceeds from the issuance of common stock through the Jefferies ATM Offering Program, net of offering costs.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generated any revenues from product sales. Our expenses may increase in connection with the potential advancement of efzofitimod in clinical development, manufacturing, and regulatory activities. In addition, if we obtain marketing approval for any of our product candidates, we expect to incur significant commercialization expenses related to product sales, marketing, manufacturing and distribution. We currently have minimal sales and marketing capabilities and would need to expand our organization to support these activities.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capital requirements are difficult to forecast and will depend on many factors. Refer to Part II, Item 1A, "Risk Factors - Risks related to our financial condition and need for additional capital—We will need to raise additional capital or enter into strategic partnering relationships to fund our operations.” for a discussion of these factors.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a combination of equity or debt offerings, grant funding, collaborations, strategic partnerships and/or licensing arrangements. To the extent we raise additional capital through the sale of equity, the ownership interest of our stockholders will be diluted, and the terms of these securities may include liquidation or other preferences that adversely affect the rights of our common stockholders.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unable to raise additional funds on acceptable terms or at all. If the equity and credit markets deteriorate, it may make any necessary debt or equity financing more difficult, more costly and more dilutive.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our material cash requirements from known contractual and other obligations consisted primarily of (i) an operating lease for our corporate headquarters and laboratory space, and (ii) our master financing lease agreement for various research and development and informational technology equipment.</w:t>
      </w:r>
    </w:p>
    <w:p>
      <w:pPr>
        <w:pStyle w:val="TextBody"/>
        <w:bidi w:val="0"/>
        <w:spacing w:before="240" w:after="283"/>
        <w:jc w:val="both"/>
        <w:rPr>
          <w:rFonts w:ascii="Times New Roman" w:hAnsi="Times New Roman"/>
          <w:sz w:val="20"/>
        </w:rPr>
      </w:pPr>
      <w:r>
        <w:rPr>
          <w:rFonts w:ascii="Times New Roman" w:hAnsi="Times New Roman"/>
          <w:i/>
          <w:color w:val="000000"/>
          <w:sz w:val="20"/>
        </w:rPr>
        <w:t>Corporate Headquarters Facility Lease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2022, we entered into a non-cancelable facility lease that is subject to base lease payments that started at $5.75 per square foot of rentable area per month for the first 12 months of the lease and which escalate 3.0% annually over the term of the lease, and additional charges for common area maintenance and other costs. The term of the lease (the Lease Term) commenced on March 20, 2023 (the Lease Commencement Date) and will continue for 124 months from the Lease Commencement Date. We also have one option to extend the Lease Term for five years. In April 2024, we entered into a lease amendment for additional common area amenities, effective as of June 2023. The amendment increased the total rentable square feet from 23,696 rentable square feet to 24,866 rentable square feet. We provided a $0.7 million security deposit in the form of a letter of credit which is included in restricted cash as of June 30, 2026.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2022, we entered into a master financing lease agreement. Under this master agreement, we entered into various financing lease agreements from July 2022 through November 2023 to lease various research and development and information technology equipment over a 48-month term. Financing lease liabilities total $0.6 million as of June 30, 2026. Additionally, as of June 30, 2026, we have $0.8 million in cash collateral for the financing lease, and this amount is included in restricted cash.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have any off-balance sheet arrangements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 and Business; 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 substantially all of our activities through aTyr Pharma, Inc., a Delaware corporation, at our facility in San Diego, California. aTyr Pharma, Inc. was incorporated in the State of Delaware in September 2005. The unaudited condensed consolidated financial statements in this Quarterly Report include our accounts and our 98% majority-owned subsidiary in Hong Kong, Pangu BioPharma, as of June 30, 2026. All intercompany transactions and balances are eliminated in consolidation.</w:t>
      </w:r>
    </w:p>
    <w:p>
      <w:pPr>
        <w:pStyle w:val="TextBody"/>
        <w:bidi w:val="0"/>
        <w:spacing w:before="240" w:after="283"/>
        <w:jc w:val="left"/>
        <w:rPr>
          <w:rFonts w:ascii="Times New Roman" w:hAnsi="Times New Roman"/>
          <w:b/>
          <w:i/>
          <w:color w:val="000000"/>
          <w:sz w:val="20"/>
        </w:rPr>
      </w:pPr>
      <w:bookmarkStart w:id="11" w:name="m_2068434224989113301__aeioulastrendered"/>
      <w:bookmarkEnd w:id="11"/>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our research and development expenses have been related primarily to the development of, and clinical trials for, our product candidates, and to research efforts targeting the potential therapeutic application of other tRNA synthetase-based immunomodulators. These expenses consist primarily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salaries and employee-related expenses, including stock-based compensation and benefits for personnel in research and product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conducting our preclinical, development and regulatory activities, including fees paid to third-party professional consultants, service providers and our scientific, therapeutic and clinical advisory board;</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acquire, develop and manufacture preclinical study and clinical trial materials and to support biologics license application (BLA) filing activities with contracted development and manufacturing organizations (CDMOs);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support our pre-commercialization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under clinical trial agreements with CROs and investigative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for laboratory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allocated facilities, depreciation and other allocable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candidates in later stages of clinical development, such as efzofitimod, generally have higher development costs than those in earlier stages of clinical development, primarily due to the increased size and duration of later-stage clinical trials. We primarily outsource our clinical trial administration to CROs, and we outsource our manufacturing of clinical trial materials to CDMOs. These outsourced expenses are typically substantially higher than the expenses we incur on candidates in earlier stages of development. As such, we separately track and report on the majority of our research and development expenses associated with the advancement of efzofitimod. For our candidates in preclinical development, the nature of the research and development expenses incurred to advance these candidates is primarily internal personnel, laboratory supply expenses and IND-enabling activities. We do not fully track or allocate these internal expenses between preclinical product candidates because the expenses can often be shared between candidates. We also incur other shared expenses to support our research and development efforts such as facilities expenses, and these expenses are not allocated to efzofitimod or our preclinical product candidates. Additionally, non-cash research and development expenses such as depreciation and stock-based compensation are not tracked or allocated between product candidates and are shared among all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that our research and development expenses will fluctuate and be dependent upon our ability to obtain additional capital through equity or debt offerings, grant funding, collaborations, strategic partnerships and/or licensing arrangements to enable us to conduct the Planned Phase 3 Study for efzofitimod in pulmonary sarcoidosis. 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related costs for employees in executive, finance and administration, pre-commercialization,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unaudited condensed consolidated financial statements, which have been prepared in accordance with accounting principles generally accepted in the United States.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discuss our accounting policies and assumptions that involve a higher degree of judgment and complexity within Note 2 to our audited consolidated financial statements in our 2025 Annual Report. There have been no material changes to our critical accounting policies and estimates as disclosed in our 2025 Annual Report.</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661"/>
        <w:gridCol w:w="446"/>
        <w:gridCol w:w="270"/>
        <w:gridCol w:w="731"/>
        <w:gridCol w:w="186"/>
        <w:gridCol w:w="186"/>
        <w:gridCol w:w="270"/>
        <w:gridCol w:w="866"/>
        <w:gridCol w:w="146"/>
        <w:gridCol w:w="146"/>
        <w:gridCol w:w="218"/>
        <w:gridCol w:w="764"/>
        <w:gridCol w:w="315"/>
      </w:tblGrid>
      <w:tr>
        <w:trPr/>
        <w:tc>
          <w:tcPr>
            <w:tcW w:w="56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Efzofitimod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Preclinical development and other shared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Research and development expenses were $6.7 million and $15.4 million for the three months ended June 30, 2026 and 2025, respectively. The decrease of $8.6 million was primarily driven by a reduction in efzofitimod expenses for the EFZO-FIT study since it was completed in September 2025 as well as decreased manufacturing costs due to the timing of certain manufacturing activities being completed. Preclinical development and other shared research and development expenses increased by $1.6 million, and was primarily attributable to increased discovery costs for our preclinical product candidates, including IND-enabling activities for our ATYR0101 preclinical candidate. Non-cash expenses were consistent as compared to the prior year period. We anticipate that our research and development expenses will fluctuate and be dependent upon our ability to obtain additional capital through equity or debt offerings, grant funding, collaborations, strategic partnerships and/or licensing arrangements to enable us to conduct the Planned Phase 3 Study for efzofitimod in pulmonary sarcoidosis.</w:t>
      </w:r>
    </w:p>
    <w:p>
      <w:pPr>
        <w:pStyle w:val="TextBody"/>
        <w:bidi w:val="0"/>
        <w:spacing w:before="18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$4.1 million and $4.9 million for the three months ended June 30, 2026 and 2025, respectively. The decrease of $0.8 million was attributable to pre-commercialization expenses incurred during the same period in the prior year ahead of the announcement of top-line data from the EFZO-FIT study. Non-cash expenses decreased by $0.1 million primarily due to decreased non-cash stock-based compensation expenses. We anticipate that our general and administrative expenses will decrease in the near term in conjunction with the implementation of our Restructuring Plan.</w:t>
      </w:r>
    </w:p>
    <w:p>
      <w:pPr>
        <w:pStyle w:val="TextBody"/>
        <w:bidi w:val="0"/>
        <w:spacing w:before="180" w:after="283"/>
        <w:jc w:val="both"/>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$0.6 million and $0.8 million for the three months ended June 30, 2026 and 2025, respectively. The change was primarily a result of lower interest rates and lower interest earned on lower cash balances as compared to the same period in the prior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 (in thousands):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50"/>
        <w:gridCol w:w="446"/>
        <w:gridCol w:w="174"/>
        <w:gridCol w:w="812"/>
        <w:gridCol w:w="174"/>
        <w:gridCol w:w="174"/>
        <w:gridCol w:w="174"/>
        <w:gridCol w:w="812"/>
        <w:gridCol w:w="146"/>
        <w:gridCol w:w="146"/>
        <w:gridCol w:w="161"/>
        <w:gridCol w:w="820"/>
        <w:gridCol w:w="316"/>
      </w:tblGrid>
      <w:tr>
        <w:trPr/>
        <w:tc>
          <w:tcPr>
            <w:tcW w:w="58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Efzofitimod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Preclinical development and other shared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Research and development expenses were $14.1 million and $27.2 million for the six months ended June 30, 2026 and 2025, respectively. The decrease of $13.1 million was primarily driven by a reduction in efzofitimod expenses for the EFZO-FIT study since it was completed in September 2025 as well as decreased manufacturing costs due to the timing of certain manufacturing activities being completed. Preclinical development and other shared research and development expenses increased by $2.4 million, and was primarily attributable to increased discovery costs for our preclinical product candidates, including IND-enabling activities for our ATYR0101 preclinical candidate. Non-cash expenses were consistent as compared to the prior year period. We anticipate that our research and development expenses will fluctuate and be dependent upon our ability to obtain additional capital through equity or debt offerings, grant funding, collaborations, strategic partnerships and/or licensing arrangements to enable us to conduct the Planned Phase 3 Study for efzofitimod in pulmonary sarcoidosis. </w:t>
      </w:r>
    </w:p>
    <w:p>
      <w:pPr>
        <w:pStyle w:val="TextBody"/>
        <w:bidi w:val="0"/>
        <w:spacing w:before="18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$8.3 million and $8.9 million for the six months ended June 30, 2026 and 2025, respectively. The decrease of $0.6 million was attributable to pre-commercialization expenses incurred during the same period in the prior year ahead of the announcement of top-line data from the EFZO-FIT study. Non-cash expenses were consistent as compared to prior year period. We anticipate that our general and administrative expenses will decrease in the near term in conjunction with the implementation of our Restructuring Plan.</w:t>
      </w:r>
    </w:p>
    <w:p>
      <w:pPr>
        <w:pStyle w:val="TextBody"/>
        <w:bidi w:val="0"/>
        <w:spacing w:before="180" w:after="283"/>
        <w:jc w:val="both"/>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$1.2 million and $1.7 million for the six months ended June 30, 2026 and 2025, respectively. The change was primarily a result of lower interest rates and lower interest earned on lower cash balances as compared to the same period in the prior year.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discussion of recently issued accounting pronouncements, refer to Part I, Item 1, Notes to Condensed Consolidated Financial Statements (Unaudited) – Note 1 – Recent Accounting Pronouncements of this Quarterly Report.</w:t>
      </w:r>
    </w:p>
    <w:p>
      <w:pPr>
        <w:pStyle w:val="TextBody"/>
        <w:bidi w:val="0"/>
        <w:jc w:val="both"/>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are required to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in reaching a reasonable level of assurance, management necessarily is required to apply its judgment in evaluating the cost-benefit relationship of possible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required by Rule 13a-15(b) under the Exchange Act, we carried out an evaluation, under the supervision and with the participation of our management, including our Principal Executive Officer and Principal Financial Officer, of the effectiveness of the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 and operation of our disclosure controls and procedures as of the end of the quarter covered by this Quarterly Report. Based on this evaluation, our Principal Executive Officer and Principal Financial Officer concluded that our disclosure controls and procedures were effective at the reasonable assurance level as of the end of the quarter covered by this Quarterly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evaluation was also performed under the supervision and with the participation of our management, including our Principal Executive Officer and Principal Financial Officer, of any changes to our internal control over financial reporting (as defined in Rules 13a-15(f) and 15d-15(f) under the Exchange Act) during the quarter covered by this Quarterly Report that have materially affected, or are reasonably likely to materially affect, our internal control over financial reporting. Our evaluation did not identify any changes in our internal control over financial reporting that occurred during the quarter covered by this Quarterly Report that have materially affected, or are reasonably likely to materially affect, our internal control over financial reporting. </w:t>
      </w:r>
    </w:p>
    <w:p>
      <w:pPr>
        <w:pStyle w:val="TextBody"/>
        <w:bidi w:val="0"/>
        <w:spacing w:before="360" w:after="283"/>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5" w:name="part_ii_item_1_legal_proceedings"/>
      <w:bookmarkStart w:id="16" w:name="item_1_legal_proceedings"/>
      <w:bookmarkEnd w:id="15"/>
      <w:bookmarkEnd w:id="16"/>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9, 2025 and October 22, 2025, two substantially similar putative securities class action complaints were filed in the U.S. District Court for the Southern District of California, naming aTyr Pharma, Inc. and our Chief Executive Officer, Sanjay Shukla. The complaints assert that we and Mr. Shukla violated Section 10(b) of the Exchange Act and SEC Rule 10b-5, by making materially false or misleading statements related to efzofitimod. The complaints also assert that Mr. Shukla violated Section 20(a) of the Exchange Act. Plaintiffs seek class certification, an award of unspecified damages, and award of reasonable costs and expenses, including attorneys’ fees and expert fees, and further relief as the court may deem just and proper. On February 9, 2026, the court consolidated the two cases and appointed co-lead plaintiffs to oversee the litigation. On May 1, 2026, co-lead plaintiffs filed an Amended Consolidated Complaint. The Amended Consolidated Complaint is based on the same underlying allegations as the original complaints, asserts the same claims and seeks the same relief, and adds our Chief Financial Officer, Jill M. Broadfoot, as a defendant. On July 17, 2026, we moved to dismiss the Amended Consolidated Complaint. Under the current schedule, any opposition to a motion to dismiss is due August 28, 2026, with any reply due September 28, 2026. We believe we have meritorious defenses and intend to vigorously defend the Company in this matter.</w:t>
      </w:r>
    </w:p>
    <w:p>
      <w:pPr>
        <w:pStyle w:val="TextBody"/>
        <w:bidi w:val="0"/>
        <w:spacing w:before="240" w:after="283"/>
        <w:jc w:val="both"/>
        <w:rPr>
          <w:rFonts w:ascii="Times New Roman" w:hAnsi="Times New Roman"/>
          <w:sz w:val="20"/>
        </w:rPr>
      </w:pPr>
      <w:bookmarkStart w:id="17" w:name="item_1a_risk_factors"/>
      <w:bookmarkEnd w:id="17"/>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18" w:name="summary_of_risk_factors"/>
      <w:bookmarkEnd w:id="18"/>
      <w:r>
        <w:rPr>
          <w:rFonts w:ascii="Times New Roman" w:hAnsi="Times New Roman"/>
          <w:b/>
          <w:color w:val="000000"/>
          <w:sz w:val="20"/>
        </w:rPr>
        <w:t>Risks Factors Summary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Below is a summary of the principal factors that make an investment in our securities speculative or risky. This summary does not address all of the risks that we face. Additional discussion of the risks summarized in this risk factors summary, and other risks that we face, can be found following this summary and should be carefully considered, together with other information in this Quarterly Report and our other filings with the SEC before making investment decisions regarding our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Investing in our securities involves substantial risk. The risks described under the heading “Risk Factors” immediately following this summary may cause us to not realize the full benefits of our strengths or may cause us to be unable to successfully execute all or part of our strategy. Some of the more significant risks we face include the following:</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raise additional capital or enter into strategic partnering relationships to fund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biotechnology company and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established U.S. Food and Drug Administration (FDA) regulatory pathway for approval of a drug in pulmonary sarcoidosis. Our new Phase 3 study for efzofitimod in pulmonary sarcoidosis (Planned Phase 3 Study) may not be sufficient to support FDA approval and the FDA may require additional clinical trials which would materially and adversely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encounter substantial delays and other challenges in our ongoing or planned clinical trials or we may fail to demonstrate safety and efficacy, such as our failure to meet the primary endpoint in the EFZO-FIT study, to the satisfaction of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face contracted development and manufacturing organization (CDMO) manufacturing stoppages and other CDMO challenges associated with the clinical or commercial manufacture of our product candidates or regulatory activities required for a biologics license application (BLA) submission;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product candidates and any other product candidates that we may develop from our discovery platform represent novel therapeutic approaches, which may cause significant delays or may not result in any commercially viable drugs;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depended and may again in the future depend on collaborations with third parties for the development and commercialization of certain of our product candidates. If our collaborations are not successful, we may not be able to capitalize on the market potential of these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maintain or protect intellectual property rights related to our product candidates, or if the scope of such intellectual property protection is not sufficiently broad, we may not be able to compete effectively in our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depends on our ability to retain key employees, consultants and advisors and to attract, retain and motivate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macroeconomic conditions could adversely affect our business, financial condition or results of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historically has been highly volatile and is likely to continue to be volatile, and you could lose all or part of your investment.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carefully consider the following risk factors, as well as the other information in this Quarterly Report and in our other public filings with the SEC. The occurrence of any of these risks could harm our business, financial condition, results of operations and/or growth prospects or cause our actual results to differ materially from those contained in forward-looking statements we have made in this Quarterly Report and those we may make from time to time. You should consider all of the risk factors described in our other public filings when evaluating our business. The risk factors set forth below that are marked with an asterisk (*) contain changes to the similarly titled risk factors included in, or did not appear as separate risk factors in, Item 1A of our Annual Report on Form 10-K for the year ended December 31, 2025 (Annual Report), which was filed with the SEC on March 5, 2026.</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financial condition and need for additional capital</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will need to raise additional capital or enter into strategic partnering relationships to fund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of therapeutic product candidates is expensive, and we expect our research and development expenses to fluctuate. As of June 30, 2026, our cash, cash equivalents, restricted cash and available-for-sale investments were approximately $58.9 million. We believe that our current cash, cash equivalents, restricted cash and available-for-sale investments, will be sufficient to meet our material cash requirements for known contractual and other obligations for a period of at least one year from the date of this Quarterly Report. However, our operating plans may change as a result of many factors currently unknown to us, and we may need to seek additional funds sooner than planned, through equity or debt offerings, grant funding, collaborations, strategic partnerships and/or licensing arrangements. Our future funding requirements are difficult to forecast and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held a Type C meeting with the FDA in mid-April 2026 to review the results of the EFZO-FIT study and determine the path forward for efzofitimod in pulmonary sarcoidosis. We submitted a protocol under our investigational new drug (IND) application to the FDA in June 2026 and we await comments from the FDA on the protocol by the end of August 2026. We plan to continue the development of efzofitimod in pulmonary sarcoidosis in our Planned Phase 3 Study. The Planned Phase 3 Study and any potential need for additional clinical studies for efzofitimod in pulmonary sarcoidosis will be costly and will require us to obtain additional capital through equity or debt offerings, grant funding, collaborations, strategic partnerships and/or licensing arrangements to conduct such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type, number, scope progress, expansions, results, costs and timing of, our clinical trials and preclinical studies for our product candidates or other potential product candidates or indications which we are pursuing or may choose to pursue in the future, including changes in our CROs or CDMOs;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delays of our planned clinical trials of efzofitimod;</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increases related to the manufacturing of preclinical study and clinical trial materials, including cost increases related to technology transfers to additional CDMOs and any delays in the manufacturing of study drug;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increases as a result of global geopolitical tension, armed conflicts, potential future health pandemics, liquidity concerns at, and failures of, banks and other financial institutions or other disruptions in the banking system or financing markets, tariffs and trade tensions, higher interest rates and financial and credit market fluctuations, volatility in the capital markets, labor shortages, economic slowdowns, recessions or market corrections, inflation and monetary supply shifts and tightening of credit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characteristics of product candidates that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and clinical trials for other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new collaboration and licensing arrangements and the timing of any payments we may receive under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any event, we will require additional capital to complete additional clinical trials, to obtain regulatory approval for, and to commercialize, our product candidates, such as efzofitimod.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Raising funds in the current and future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 For example, in August 2026, our board of directors approved the implementation of a corporate restructuring and program prioritization plan (the Restructuring Plan) to streamline our operations and conserve capital prior to the potential initiation of the Planned Phase 3 Study. In connection with the Restructuring Plan, we committed to a reduction in our total workforce by approximately 60% to 20 full-time employees. </w:t>
      </w:r>
    </w:p>
    <w:p>
      <w:pPr>
        <w:pStyle w:val="TextBody"/>
        <w:bidi w:val="0"/>
        <w:jc w:val="both"/>
        <w:rPr>
          <w:rFonts w:ascii="Times New Roman" w:hAnsi="Times New Roman"/>
          <w:color w:val="000000"/>
          <w:sz w:val="20"/>
        </w:rPr>
      </w:pPr>
      <w:r>
        <w:rPr>
          <w:rFonts w:ascii="Times New Roman" w:hAnsi="Times New Roman"/>
          <w:color w:val="000000"/>
          <w:sz w:val="20"/>
        </w:rPr>
        <w:t>The terms of any financing may adversely affect the holdings or the rights of our stockholders and the issuance of additional securities by us, or the possibility of such issuance, may cause the market price of our shares to decline. The sale of additional equity or convertible securities would cause dilution to all of our stockholders. The incurrence of indebtedness would result in fixed payment obligations and may require us to agree to certain restrictive covenants, such as limitations on our ability to incur debt, limitations on our ability to acquire, sell or license intellectual property rights and other operating restrictions that could adversely impact our ability to conduct our business. As a result of global geopolitical and macroeconomic conditions, liquidity concerns at, and failures of, banks and other financial institutions or other disruptions in the banking system or financing markets, tariffs and trade tensions, the recent and potential future shutdowns of the federal government and the resulting effects on its regulatory agencies, higher interest rates and financial and credit market fluctuations, volatility in the capital markets, the global credit and financial markets have experienced volatility and disruptions, including severely diminished liquidity and credit availability, declines in consumer confidence, declines in economic growth, volatility in unemployment rates, inflation, higher interest rates and uncertainty about economic stability. If the equity and credit markets deteriorate, it may make any necessary debt or equity financing more difficult, more costly and more dilutive. In addition, any fundraising efforts may divert our management from their day-to-day activities, which may adversely affect our ability to develop and commercialize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biotechnology company and have incurred significant losses since our inception and anticipate that we will continue to incur significant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biotechnology company, and we have not yet generated any revenues from product sales. We have incurred net losses in each year since our inception in 2005, including consolidated net losses of $21.1 million for the six months ended June 30, 2026. As of June 30, 2026, we had an accumulated deficit of $627.3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devoted most of our financial resources to research and development, including our clinical and preclinical development activities. To date, we have financed our operations primarily through the sale of equity securities and convertible debt and through venture debt, term loans and license and collaboration agreement revenues. The amount of our future net losses will depend, in part, on the rate of our future expenditures and our ability to obtain funding through equity or debt offerings, grant funding, collaborations, strategic partnerships and/or licensing arrangements. We will not generate any revenue from product sales unless and until we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successfully complete development and obtain regulatory approval for a product candidate. Even if we obtain regulatory approval to market a product candidate, our future revenues will depend, in part, upon the size of any markets in which our product candidates have received approval, and our ability to achieve sufficient market acceptance, reimbursement from third-party payors and adequate market share for our product candidates in those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incur significant expenses and operating losses for the foreseeable future. We anticipate that our expenses will fluctuate in connection with our ongoing activities as we: continue our research and preclinical and clinical development of efzofitimod or any other product candidates that we may develop; obtain clinical trial materials and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expenses and income or losses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never generated any revenue from product sales and may never be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completing research, preclinical development and clinical development of our product candidates, potentially with a strategic partner;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seeking and obtaining regulatory approvals for product candidates for which we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sustainable, scalable, reproducible, and transferable manufacturing process for our product candidates and establishing supply and manufacturing relationships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launching and commercializing product candidates for which we obtain regulatory approval, either by collaborating with a partner or, if launched independently, by establishing a sales force, marketing and distribution infrastructure;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protecting and expanding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market acceptance of our product candidates as viable treatment options for our target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and validating new therapeutic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negotiating favorable terms in any licensing, collaboration or other arrangements into which we may enter.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the discovery, development and regulation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no established FDA regulatory pathway for approval of a drug in pulmonary sarcoidosis. Our Planned Phase 3 Study for efzofitimod in pulmonary sarcoidosis may not be sufficient to support FDA approval and the FDA may require additional clinical trials which would materially and adversely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only FDA-approved therapies for the treatment of sarcoidosis are glucocorticoids which were approved by the FDA in the 1950s, prior to current regulatory standards. As such, the most appropriate efficacy endpoints to demonstrate clinically meaningful treatment effects have not been established. Accordingly, the FDA has not endorsed a specific primary endpoint nor a specific means for measurement of steroid reduction. In 2022, we initiated the EFZO-FIT study, where we selected steroid reduction as the primary endpoint and measured steroid reduction in multiple ways in an effort to support an approval. In 2025, we announced top-line results from the EFZO-FIT study, including that the study did not meet its primary endpoint of steroid reduction.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study did not meet its primary endpoint, we believe the improvements seen across multiple clinically relevant efficacy endpoints indicate drug activity for efzofitimod. Based on these trial findings, we held a Type C meeting with the FDA in April 2026 to review the results of the EFZO-FIT study and determine the path forward for efzofitimod in pulmonary sarcoidosis. Based on feedback from the FDA, we plan to continue the development of efzofitimod in pulmonary sarcoidosis in the Planned Phase 3 Study in patients with chronic, symptomatic pulmonary sarcoidosis with restrictive lung disease utilizing FVC as the primary endpoint of the Planned Phase 3 Study and the KSQ-Lung score as the key secondary endpoint. We chose these endpoints based on the FDA’s indication that FVC and KSQ-Lung are direct measures of how patients suffering from pulmonary sarcoidosis function and feel, and we concluded FVC to be a more appropriate primary endpoint at this time pending further content validation work for KSQ-Lung as recommended by the FDA. Additionally, as part of our discussion with the FDA regarding the benefit risk profile for efzofitimod, we plan to increase the frequency of dosing of 5.0 mg/kg efzofitimod or placebo from once every four weeks in past trials to once every three weeks in the Planned Phase 3 Study. The Planned Phase 3 Study and any potential need for any additional clinical trials for efzofitimod in pulmonary sarcoidosis, will require a significant amount of additional time and resources to support approval. In addition, it will require us to obtain additional capital through equity or debt offerings, grant funding, collaborations, strategic partnerships and/or licensing arrangements to conduct such studies.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views the EFZO-FIT study as a failed study due to the fact that the study did not meet its primary endpoint and indicated that results from the EFZO-FIT study will not be useful in establishing effectiveness for efzofitimod in pulmonary sarcoidosis. The FDA highlighted the risk of proceeding with a larger study in a more limited patient population with a higher unstudied dose and expressed concerns regarding patient safety, which may not be mitigated in part or at all by our planned risk mitigation strategies, enhanced safety surveillance for the potential development of anti-synthetase syndrome and data safety monitoring committee. The results of our Planned Phase 3 Study may not ultimately support FDA approval, which would adversely affect our business, prospects,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general, the FDA has substantial discretion in the approval process and may refuse to accept our application or decide that our data are insufficient for approval and require additional preclinical, clinical or other trials, which would be costly and significantly delay the potential for regulatory approval.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efzofitimod based on the completed clinical trials.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encounter substantial delays and other challenges in our ongoing or planned clinical trials or we may fail to demonstrate safety and efficacy, such as our failure to meet the primary endpoint in the EFZO-FIT study, to the satisfaction of applicable regulatory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our ongoing clinical trials, including our Phase 2 study in systemic sclerosis (SSc, also known as scleroderma) associated-interstitial lung disease (ILD) (SSc-ILD) (the EFZO-CONNECT study), or planned clinical trials, including our Planned Phase 3 Study for efzofitimod in pulmonary sarcoidosis, will be initiated or conducted as planned or completed on schedule, if at all. We cannot assure you that our product candidates will not be subject to new clinical holds or significant delay in the future. For example, we may experience delays in site initiation and patient enrollment, failures to comply with study protocols, delays in the manufacture of study drug for clinical testing and other difficulties in starting or completing our clinical trials. Any inability to initiate or complete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and our clinical trials may not be successful. Events that may prevent successful or timely completion of clinical development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of human clinical trials, including clinical trials of certain dosages;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consensus with regulatory agencies on trial design, and prioritization of outcome measurements that would best support the evaluation of efzofitimod’s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clinical contract research organizations (CROs) and clinical trial sites, including any delays resulting from changes in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required institutional review board or Ethics Committee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suitable patients to participate in our clinical trials, or delays that may result if the number of patients required for a clinical trial is larger than we anticipate;</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agencies, which may occur at any time before or during a clinical trial, including after our submission of data to these agencies or an inspection of our clinical trial operations or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CROs, investigators, other third parties or us to adhere to clinical trial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perform in accordance with the good clinical practices (GCPs) of the U.S. Food and Drug Administration (FDA) or applicable regulatory requirements in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the testing, validation, manufacturing and delivery of our product candidates to the clinical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disagreements with regulators regarding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adverse events associated with a product candidate that are viewed to outweigh its potential benefits;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delay in or inability to successfully complete preclinical and clinical development (including any delays resulting from any changes in a CRO) could result in additional costs to us and impair our ability to generate revenue. In addition, if we make manufacturing or formulation changes to our product candidates (including our technology transfer to another contracted development and manufacturing organization (CDMO) for bulk drug substance and production capacity changes for efzofitimod), we will need to conduct additional comparability studies to bridge our modified product candidates to earlier versions, and the data generated from these comparability studies will need to be reviewed and accepted by the FDA or other regulatory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results of our clinical trials are, or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be subject to litigation, including as described in this report under the caption “Legal Proceedings”; or experience damage to our reputation. For example, in September 2025, we announced that we did not meet the primary endpoint in the EFZO-FIT study. We held a Type C meeting with the FDA in mid-April 2026 to review the results of the EFZO-FIT study and determine the path forward for efzofitimod in pulmonary sarcoidosis. In May 2026, we received the official meeting minutes from the FDA. Based on feedback from the FDA, we plan to continue the development of efzofitimod in pulmonary sarcoidosis in the Planned Phase 3 Study in patients with chronic, symptomatic pulmonary sarcoidosis with restrictive lung disease. The Planned Phase 3 Study and any potential need for any additional clinical trials for efzofitimod in pulmonary sarcoidosis, will require a significant amount of additional time and resources to support approval. In addition, it will require us to obtain additional capital through equity offerings or partnering to conduct such studies.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the safety and efficacy of efzofitimod has only been studied in a limited number of humans. Accordingly, efzofitimod and any future product candidates could potentially cause unexpected adverse events. In addition, the inclusion of critically ill patients in our clinical trials may result in deaths or other adverse medical events due to the natural progression of the disease. Further, if patients drop out of our ongoing or future clinical trials, miss scheduled doses or follow-up visits or otherwise fail to follow trial protocols, or if our clinical trials are otherwise disrupted due to global geopolitical tension, armed conflicts, potential future health pandemics or other adverse macroeconomic and geopolitical events, the integrity of data from our clinical trials may be compromised or not accepted by the FDA or other regulatory authorities, which would represent a significant setback for the applicable program. In addition, the COVID-19 pandemic previously impacted clinical trials broadly, including our completed efzofitimod Phase 1b/2a trial in patients with pulmonary sarcoidosis, where many sites stopped enrollment and patients chose not to enroll or continue participating in the trial due to the impact of COVID-19. While we completed the clinical trial, the availability of results from the Phase 1b/2a clinical trial was delayed until September 2021.</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expended significant time, resources and effort on the discovery and development of product candidates related to the extracellular proteins derived from the histidyl tRNA synthetase (HARS) family, including conducting preclinical studies and clinical trials. We have not yet successfully completed any evaluation of our product candidates in human clinical trials designed to demonstrate efficacy to the satisfaction of the FDA, including the EFZO-FIT study, which we announced in September 2025 did not meet its primary endpoint. Before we can market or sell our therapeutic candidates in the United States or foreign jurisdictions, we will need to commence and complete additional clinical trials and larger, pivotal trials, manage clinical and manufacturing activities, obtain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such as our disclosure of an interim analysis of our Phase 2 EFZO-CONNECT study of efzofitimod in SSc-ILD in June 2025. Disclosure of interim data from our clinical studies is subject to the same risks as the disclosure of preliminary or top-line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encountered and may continue to encounter delays and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unable to identify and enroll a sufficient number of patients with the disease in question and who meet the eligibility criteria for, and are willing to participate in, our clinical trials. For example, we are currently planning to continue development of efzotifimod in pulmonary sarcoidosis in the Planned Phase 3 Study in patients with chronic, symptomatic pulmonary sarcoidosis with restrictive lung disease. While estimates of pulmonary sarcoidosis prevalence vary, we estimate that pulmonary sarcoidosis affects an estimated 160,000 patients in the United States, with approximately 90,000 suffering from moderate to severe disease. Of that population, however, we estimate that approximately 38,000 experience restrictive lung disease such that our targeted patient population for our Planned Phase 3 Study is significantly smaller. The eligibility criteria for any of our clinical trials may further limit the pool of available participants in our trials. We may be unable to identify and enroll a sufficient number of patients with the disease in question and who meet the eligibility criteria for, and are willing to participate in, the clinical trials. Once enrolled, patients may decide or be required to discontinue from the clinical trial due to inconvenience, burden of trial requirements, adverse events associated with efzofitimod, limitations required by trial protocols or other reasons.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identify, recruit, enroll and maintain a sufficient number of patients, or those with required or desired characteristics to achieve diversity in our clinical trials in a timely manner may also be affected by other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proximity and availability of clinical trial sites for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 of the study protocol and the burdens to patients of compliance with our study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of competing therapies and clinical trials for the patient populations and indications under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facilitate timely enrollment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referral practices of physicians;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monitor patients adequately during and after treatment.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difficulty in establishing or managing relationships with or changes in CROs and physicians;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different requirements and standards for the conduct of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locate qualified local consultants, physicians and partners;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burden of complying with a variety of foreign laws, medical standards and regulatory requirements, including the regulation of biotechnology products and treatment.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clinical trial delays could also shorten any periods during which we may have the exclusive right to commercialize our product candidates or allow our competitors to bring products to market before we do, which could impair our ability to obtain orphan exclusivity and successfully commercialize our product candidates and may have an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previously conducted and we or our third-party collaborators may conduct additional clinical trials of efzofitimod outside of the United States. The FDA, however, may not accept data from such trials, in which case our development plans will be delayed, which could materially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2018, we completed a Phase 1 clinical trial of efzofitimod in healthy subjects in Australia. This randomized, double-blind, placebo-controlled study investigated the safety, tolerability, immunogenicity, and pharmacokinetics (PK) of intravenous efzofitimod in 36 healthy volunteers. In addition, we or our third-party collaborators may choose to conduct additional clinical trials for efzofitimod in countries outside the United States, subject to applicable regulatory approval. For example, Kyorin, conducted and funded an efzofitimod Phase 1 clinical trial in 32 healthy Japanese male volunteers and conducted and funded the Japan portion of the EFZO-FIT study. We conducted the EFZO-FIT study with a total of 268 subjects in centers in the United States, Europe, Brazil, and Japan. We plan to conduct our Planned Phase 3 Study for efzofitimod in pulmonary sarcoidosis globally as well.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clinical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clinical trials outside the United States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cultural differences in medical practice and clinical research;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evolving global geopolitical tension, armed conflicts and macroeconomic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the integrity of data from any clinical trials conducted outside of the United States may not be acceptable to the FDA.</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face CDMO manufacturing stoppages and other CDMO challenges associated with the clinical or commercial manufacture of our product candidates or regulatory activities required for a biologics license application</w:t>
      </w:r>
      <w:r>
        <w:rPr>
          <w:rFonts w:ascii="Times New Roman" w:hAnsi="Times New Roman"/>
          <w:color w:val="000000"/>
          <w:sz w:val="20"/>
        </w:rPr>
        <w:t xml:space="preserve"> (</w:t>
      </w:r>
      <w:r>
        <w:rPr>
          <w:rFonts w:ascii="Times New Roman" w:hAnsi="Times New Roman"/>
          <w:b/>
          <w:i/>
          <w:color w:val="000000"/>
          <w:sz w:val="20"/>
        </w:rPr>
        <w:t>BLA) submission.*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entities involved in the preparation of therapeutics for clinical trials or commercial sale, including our CDMOs for our product candidates, are subject to extensive regulation. Components of a finished therapeutic product approved for commercial sale or use in late-stage clinical trials must be manufactured in accordance with current good manufacturing practices (cGMPs).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BLA on a timely basis and must adhere to the FDA’s Good Laboratory Practices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 If anything were to prevent the FDA or other regulatory authorities from conducting their regular inspections, it could impact the ability of our CDMOs to provide us with product for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For example, in March 2026, the FDA issued our current CDMO a Notice of Inspectional Observations (commonly referred to as a Form 483), which requires our CDMO to address the observations in such notice to the FDA's satisfaction. Our CDMO may not address those observations in a timely manner or at all, and any of our CDMOs may receive a similar notice in the future. Any remedial measures imposed upon us or third parties with whom we contract as a result of inspections or audits could materially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In addition, the manufacture of our product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 to product loss and delays due to contamination, equipment failure or improper installation or operation of equipment, or vendor or operator error. We have incurred such product losses and delays due to these types of deviations with our current CDMO.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sz w:val="20"/>
        </w:rPr>
      </w:pPr>
      <w:r>
        <w:rPr>
          <w:rFonts w:ascii="Times New Roman" w:hAnsi="Times New Roman"/>
          <w:color w:val="000000"/>
          <w:sz w:val="20"/>
        </w:rPr>
        <w:t xml:space="preserve">are not applicable across the entire class. For example, fusion proteins, such as efzofitimod, include an additional antibody domain to improve PK characteristics, and may therefore require a more complex and time-consuming manufacturing process than other tRNA synthetase-based therapeutic candidates. Currently, we are producing our efzofitimod molecule in </w:t>
      </w:r>
      <w:r>
        <w:rPr>
          <w:rFonts w:ascii="Times New Roman" w:hAnsi="Times New Roman"/>
          <w:i/>
          <w:color w:val="000000"/>
          <w:sz w:val="20"/>
        </w:rPr>
        <w:t>E.coli</w:t>
      </w:r>
      <w:r>
        <w:rPr>
          <w:rFonts w:ascii="Times New Roman" w:hAnsi="Times New Roman"/>
          <w:color w:val="000000"/>
          <w:sz w:val="20"/>
        </w:rPr>
        <w:t xml:space="preserve">. The manufacturing processes for one of our product candidates may not be readily adaptable to other product candidates that we develop, and we may need to engage multiple third-party manufacturers to produce our product candidates.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For example, we engaged an additional CDMO to manufacture efzofitimod and completed a technology transfer and validation process before the CDMO was able to produce additional bulk drug substance. Even if we successfully complete technology transfers and validation processes with third-party manufacturers, we may still experience manufacturing setbacks. For example, during 2024, we initiated preparatory work with the additional CDMO engaged to manufacture efzofitimod on three process performance qualification drug substance batches that will be required as part of our potential BLA submission for efzofitimod. During the first quarter of 2025, the first upstream batch did not meet process performance qualification specifications, and was replaced by the CDMO. During the third quarter of 2025, we initiated and successfully completed the required three process performance qualification batches. The drug substance material generated from these batches has been forward processed into drug product. The deviations in the initial drug substance batch were due to operational errors at the CDMO and not related to the underlying process nor the drug substance. In the future, we may experience deviations with this or other CDMOs for any number of reasons, whether due to operational errors or otherwise.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Additionally, we have been informed by our CDMO that it will be relocating the microbial manufacturing site we used to conduct our manufacturing batches. We are currently assessing the impact of this transition, including potentially conducting future manufacturing batches with this CDMO at a different site, or with a new CDMO. We believe we have sufficient drug product supply for all planned clinical studies, which includes our Planned Phase 3 Study for efzofitimod in pulmonary sarcoidosis. However, we expect our commercial supply planning and funding needs may be significantly impacted by the transition to the CDMO's other site, or by transitioning to a new CDMO for commercial supply purposes. We rely on the manufacturers of our product candidates (and will rely on manufacturers of our products, if approved) to purchase from third-party suppliers the materials necessary to produce the pharmaceutical ingredients, including finished drug product, for our nonclinical and clinical studies. Suppliers may not sell these materials to our manufacturers at the time we need them or on commercially reasonable terms and all such prices are susceptible to fluctuations in price and availability due to transportation costs, government regulations, price controls, and changes in economic climate or other foreseen circumstances. We do not have any control over the process or timing of the acquisition of these materials by our manufacturers. In addition, the U.S. has implemented, and has proposed to further implement, tariffs that may affect the availability of imported raw materials used in the production of our product candidates and/or increase the costs to our CDMO and the expense to us to produce our product candidates. Additionally, other governments have enacted, and may continue to enact, retaliatory measures in response to such tariffs. Any additional adverse developments, changes in legislation or other economic policy changes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the timing of our potential BLA submission for efzofitimod and could require significant additional funding. We may also have to write off inventory, incur other charges and expenses for supply of drug substance and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product candidate, and the scope of any approval may be narrower than we expect.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obtained orphan drug designation for efzofitimod for the treatment of sarcoidosis and systemic sclerosis in the United States and for the treatment of sarcoidosis in the European Union (EU), we may not receive orphan drug designation for efzofitimod in other jurisdictions or for other indications that we may pursue, or for any other product candidates we may develop under any new applications for orphan drug designation that we may submit, and any orphan drug designations that we have received or may receive may not confer marketing exclusivity or other expected commercial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granted orphan drug designation to efzofitimod for the treatment of sarcoidosis in January 2022 and SSc in April 2022. The European Commission, on the basis of the opinion of the European Medicines Agency (EMA) Committee for Orphan Medicinal Products (COMP) granted orphan drug designation to efzofitimod for the treatment of sarcoidosis in January 2023 and for the treatment of SSc in June 2023. We may apply for orphan drug designation for efzofitimod for other indications and product candidates in the United States and the EU.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 the EMA’s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Orphan drug status confers up to ten years of marketing exclusivity in Europe, and up to seven years of marketing exclusivity in the United States, for a particular product in a specified indication. Obtaining an orphan drug designation can be difficult and we cannot assure you that we will be able to obtain orphan drug designation in other jurisdictions or for other indications,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pStyle w:val="TextBody"/>
        <w:bidi w:val="0"/>
        <w:jc w:val="left"/>
        <w:rPr>
          <w:rFonts w:ascii="Times New Roman" w:hAnsi="Times New Roman"/>
          <w:b/>
          <w:i/>
          <w:color w:val="000000"/>
          <w:sz w:val="20"/>
        </w:rPr>
      </w:pPr>
      <w:r>
        <w:rPr>
          <w:rFonts w:ascii="Times New Roman" w:hAnsi="Times New Roman"/>
          <w:b/>
          <w:i/>
          <w:color w:val="000000"/>
          <w:sz w:val="20"/>
        </w:rPr>
        <w:t>A breakthrough therapy or Fast Track designation by the FDA, including the Fast Track designation we received for efzofitimod, may not lead to expedited development or regulatory review 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2022, the FDA granted Fast Track designation to efzofitimod for the treatment of pulmonary sarcoidosis and for the treatment of SSc-ILD. We may seek, from time to time, breakthrough therapy or Fast Track designation for our product candidates.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preclinical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As a result, we cannot be certain whether any of our product candidates can or will qualify for breakthrough therapy designation. Our business may be harmed if we are unable to avail ourselves of these or any other expedited development and regulatory pathways.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layoffs, funding shortages or global health concerns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proposed clinical trials or new products can be affected by a variety of factors, including government budget and funding levels, layoffs,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including executive and congressional priorities, the impacts of which are inherently fluid and unpredictable.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government employees and stop critical activities to the extent they are not funded by existing available user fees. In addition, the current administration has enacted substantial reductions in force at various government agencies that, if applied in a material way, could significantly reduce the FDA’s and other agencies’ capacities to perform their functions in a manner consistent with past practices and could negatively impact our business. Repeated or prolonged government shutdowns or material layoffs of agency personnel could significantly impact the ability of the FDA to timely review and process our regulatory submissions and negatively impact other government operations on which we rely, which could have a material adverse effect on our business.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regulatory approval for a product candidate, our products will remain subject to regulatory scrutiny.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our CDMOs will be subject to continual review and inspections to assess compliance with cGMPs and adherence to commitments made in any BLA or marketing authorization application (MAA). Accordingly, we and others with whom we work will need to continue to expend time, money, and effort in all areas of regulatory compliance, including manufacturing, production, and quality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 untitled or 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 civil or criminal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or withdraw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any of our ongoing clinical trials;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refuse to approve pending applications or supplements to approved applications submitted by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 restrictions on our operations, including closing our CDMOs’ facilities;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seize or detain products, or require or request a product recall.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current product candidates and any other product candidates that we may develop from our discovery platform represent novel therapeutic approaches, which may cause significant delays or may not result in any commercially viable drugs.*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concentrated the bulk of our research and development efforts to date on studying extracellular functions of tRNA synthetase biology, a newly discovered area of biology. Our future success is highly dependent on the successful development of product candidates based on this new area of biology, including efzofitimod, and additional product candidates arising from proteins derived from tRNA synthetases, including aspartyl-tRNA synthetase (DARS). ATYR0101, a fusion protein derived from a domain of DARS, is a product candidate from our tRNA synthetase biology program that we are continuing to advance in preclinical studies. Extracellular tRNA synthetase-based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derived from the HARS or DARS families and from other tRNA synthetase pathways represent a novel class of protein therapeutics, and our development of these therapeutics is based on our new understanding of human physiology. In particular, the mechanism of action of tRNA synthetases has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platform will yield therapeutic product candidates that are safe, effective, approvable by regulatory authorities, manufacturable, scalable, or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our work represents a new therapeutic approach, developing and commercializing our product candidates, including efzofitimod, subjects us to a number of challenges,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defining indications within our targeted diseases and clinical endpoints within each indication that are appropriate to support regulatory approval, including with respect to our Planned Phase 3 Study for efzofitimod in pulmonary sarcoidosis and the EFZO-CONNECT study, and prioritization of outcome measurements that would best support the evaluation of efzofitimod’s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approval from the FDA and other regulatory authorities that have little or no experience with the development of extracellular tRNA synthetase-based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the potential side effect profile of each of our product candidates, such as the potential for the development of antibodies against our purified protein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processes for the safe administration of these product candidates, including long-term follow-up for all patients who receive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materials used to manufacture and process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manufacturing process and distribution network that ensures consistent manufacture of our product candidates in compliance with cGMPs and related requirements, with a cost of goods that allows for an attractive return on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third-party coverage and adequate reimbursement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after obtaining any regulatory approval to gain market acceptance;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therapeutics for diseases or indications beyond those addressed by our current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Data generated in our preclinical studies and patient sample data relating to the immunomodulatory domain of HARS, including efzofitimod, may not be predictive or indicative of the immunomodulatory activity or therapeutic effects, if any, of our product candidates in patients.*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scientists discovered the activity of the immunomodulatory domain of HARS, including efzofitimod, using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screening systems designed to test potential immunomodulatory activity in animal models of immune activity or inflammation. Translational medicine, or the application of basic scientific findings to develop therapeutics that promote human health, is subject to a number of inherent risks. In particular, scientific hypotheses formed from preclinical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For example, we have not extensively studied the activity of efzofitimod in patients with ILD.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efzofitimod may not be substantiated in other animal models or in clinical trials. Further, based on the discovery of the involvement of neuropilin-2 (NRP2) in the mechanism of action of efzofitimod, we are still expanding our knowledge of the role of the NRP2 pathway in regulating immune responses. Although we were able to establish clinical proof-of-concept for efzofitimod in our Phase 1b/2a clinical trial in patients with pulmonary sarcoidosis, this may not be validated in other clinical trials. For example, we did not meet the primary endpoint in our EFZO-FIT study. Any failure to demonstrate in controlled clinical trials the requisite safety and efficacy of our product candidates will adversely affect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 For instance, as part of our discussion with the FDA regarding the benefit risk profile for efzofitimod, we plan to increase the frequency of dosing of 5.0 mg/kg efzofitimod or placebo from once every four weeks in past trials to once every three weeks in the next trial. Although we plan to include additional risk mitigation strategies, enhanced safety surveillance for the potential development of anti-synthetase syndrome and a data safety monitoring committee, these may not mitigate some or all of the safety risks. Generalized infusion related reactions (IRRs) and other complications or side effects could harm further development and/or commercialization of our product candidates, including efzofitimod.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you that these or other risks will not occur in any clinical trials for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anti-synthetase syndrome from antibodies or the occurrence of IRRs associated with antibodies, further advancement of our clinical trials could be halted or delayed, which would have a material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one or more of our product candidates receives marketing approval, and we or others later identify undesirable side effects or other safety concerns caused by such products, a number of potentially significant negative consequences could result.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could significantly harm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our efforts to identify or discover additional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key element of our strategy is to expand applications of efzofitimod to additional immune-mediated diseases and leverage our discovery platform to identify the therapeutic potential of extracellular proteins derived from tRNA synthetases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research methodology used may not be successful in identifying appropriate potential product candidates;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candidates may, on further study, be shown to have harmful side effects or other characteristics that indicate that they are unlikely to be product candidates that will receive marketing approval and achieve market acceptance.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depended and may again in the future depend on collaborations with third parties for the development and commercialization of certain of our product candidates. If our collaborations are not successful, we may not be able to capitalize on the market potential of these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and may continue to enter into, research collaborations for the research and development of specified product candidates. Our sole source of revenue depends upon the performance by these collaborators of their responsibilities under these arrangements. The development efforts of our collaborators are subject to the same risks and uncertainties described above with respect to our independently developed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collaborators may not succeed in their product development efforts. It is possible that our collaborators may be unable to obtain regulatory approval of our product candidates or successfully market and commercialize any such products for which regulatory approval is obtained. Other collaborators may not devote sufficient time or resources to the programs covered by these arrangements, and we may have limited or no control over the time or resources allocated by these collaborators to these programs. The occurrence of any of these events may cause us to derive little or no revenue from these arrangements, lose opportunities to validate our product candidates, or force us to curtail or cease our development efforts in these areas.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collaborators may breach or terminate their agreements with us, including termination without cause, subject to certain prior written notice requirements, and we may be unsuccessful in entering into and maintaining other collaborative arrangements for the development of product candidates. For example, the collaboration and license agreement (the Kyorin Agreement) with Kyorin Pharmaceutical Co., Ltd. (Kyorin) has been terminated. As a result of the termination of the Kyorin Agreement, we will not be entitled to receive any further milestone or other payments, including $155.0 million in the aggregate that would have been due upon achievement of certain development, regulatory and sales milestones, as well as tiered royalties on any net sales in Japan. As of the Termination Date, neither party has any development or commercialization obligations and the licenses we granted to Kyorin pursuant to the Kyorin Agreement have terminated. Following the Termination Date, the rights to develop and commercialize efzofitimod in Japan for all forms of ILD have reverted to us. Consequently, we hold the rights to develop and commercialize efzofitimod globally. In addition, if we are unable to maintain existing collaboration arrangements or enter into new ones, our ability to generate licensing, milestone or royalty revenues would be materially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decide to enter into additional strategic partnerships, including collaborations with pharmaceutical and biotechnology companies, to enhance and accelerate the development and potential commercialization of our product candidates. We face significant competition in seeking appropriate partners, and the negotiation process is time-consuming and complex. Moreover, we may not be successful in our efforts to establish any new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new strategic partnership because of the numerous risks and uncertainties associated with establishing strategic partnerships. Even if we are successful in our efforts to establish new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and expect to continue to rely, on third parties to conduct some or all aspects of our product manufacturing, protocol development, research and preclinical and clinical testing, and these third parties may not perform satisfactorily.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research and development activities, including clinical trials, in accordance with regulatory requirements or our stated study plans and protocols, we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will not be able to complete, or may be delayed in completing, the preclinical studies and clinical trials required to support future BLA submissions and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and intend to rely on third parties to produce preclinical, clinical and commercial supplies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some internal capacity to support preclinical activities, we do not have, nor do we plan to acquire, the infrastructure or capability internally to manufacture our preclinical and clinical quantities of our product candidates, and we lack the internal resources and capability to manufacture any of our product candidates on a clinical or commercial scale. Reliance on CDMOs entails risks to which we would not be subject if we manufactured the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negotiate manufacturing agreements with third parties under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control as a result of using third-party CDMOs for all aspects of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nonrenewal of manufacturing agreements with third parties in a manner or at a time that is costly or damaging to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to the operations of our CDMOs or suppliers caused by conditions unrelated to our business or operations, including the insolvency or bankruptcy of the CDMOs or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closed by our CDMO for strategic reasons related to the CDMO's business, or adversely affected by earthquakes and other natural disasters, labor shortages, power failures, economic slowdowns, higher interest rates, inflation and monetary supply shifts, evolving global geopolitical tension and numerous other factors. For example, we have been informed by our CDMO engaged to manufacture drug substance material for efzofitimod that it will be relocating the microbial manufacturing site we used to conduct prior batches of drug substance material.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previously relied on a single CDMO for process development and scale-up of efzofitimod, including the manufacture of bulk drug substance for our projected needs for planned clinical trials. We have entered into an agreement with another CDMO for the transfer of the process, scale-up and manufacturing of bulk drug substance. If we want to eventually utilize product manufactured by the new CDMO for commercial purposes, the FDA will require us to demonstrate that the product manufactured by the new CDMO is comparable in quality, safety and efficacy to the product used in the EFZO-FIT and EFZO-CONNECT studies.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of efzofitimod for the EFZO-FIT and EFZO-CONNECT studies was produced by a prior CDMO. We have transitioned to a new CDMO that completed its first two commercial-scale cGMP runs during 2023. Full quality release testing has been completed and all release specifications were met, supporting the new CDMO's ability to produce bulk drug substance of efzofitimod for commercial purposes if we receive regulatory approval for efzofitimod. Because the change in CDMO has been introduced at an advanced stage of development of efzofitimod, the FDA will require a comparability assessment, which may include additional nonclinical or clinical studies utilizing the product manufactured by the new CDMO. We have completed an analytical comparability assessment. The FDA has reviewed this analytical comparability assessment and no additional data was requested.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and expect to continue to rely, on third parties to conduct, supervise and monitor our clinical trials, and if these third parties perform in an unsatisfactory manner, it may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investigators and CROs are not our employees, and we are therefore unable to directly monitor whether or not they devote sufficient time and resources to our clinical and preclinical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enrollment and data integrity from monitoring of the trial may suffer, our financial results could be harmed, our costs could increase, our ability to generate revenues could be delayed and the commercial prospects for our product candidates could be adversely affected.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manufacture our product candidates, and we collaborate with both industry and various academic institutions in the development of our discovery platform for therapeutic applications based on tRNA synthetase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obtain, maintain or protect intellectual property rights related to our product candidates, or if the scope of such intellectual property protection is not sufficiently broad, we may not be able to compete effectively in our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If due to the effects on our operations of general political and economic conditions, including global geopolitical tension, armed conflicts, potential future health pandemics, labor shortages, economic slowdowns, recessions or market corrections, inflation and monetary supply shifts, tariffs and trade tensions, higher interest rates and tightening of credit markets, or another cause, we are unable to generate new animal, or </w:t>
      </w:r>
      <w:r>
        <w:rPr>
          <w:rFonts w:ascii="Times New Roman" w:hAnsi="Times New Roman"/>
          <w:i/>
          <w:color w:val="000000"/>
          <w:sz w:val="20"/>
        </w:rPr>
        <w:t xml:space="preserve">in vitro </w:t>
      </w:r>
      <w:r>
        <w:rPr>
          <w:rFonts w:ascii="Times New Roman" w:hAnsi="Times New Roman"/>
          <w:color w:val="000000"/>
          <w:sz w:val="20"/>
        </w:rPr>
        <w:t>data, in time to support new, or updated patent application filings, or prior to patent conversion deadlines, it could materially impact the enforceability or scope of those patent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United States Patent and Trademark Office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formulations for, or the manufacturing process or methods of use of, any of our product candidates, any molecules formed during the manufacturing process or any final product itself, the holders of any such patents may be able to block our ability to develop and commercialize such product candidate unless we obtained a license under the applicable patents, or until such patents expire. In either case, such a license may not be available on commercially reasonable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pStyle w:val="TextBody"/>
        <w:bidi w:val="0"/>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therapeutic product candidates and processes for our development pipeline through acquisitions and in-licenses.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 and other rights under our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sublicensees or partners, if 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patents or the patents of our licensors, which could be expensive, time-consuming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products.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Times New Roman" w:hAnsi="Times New Roman"/>
          <w:i/>
          <w:color w:val="000000"/>
          <w:sz w:val="20"/>
        </w:rPr>
        <w:t>Association for Molecular Pathology v. Myriad Genetics, Inc.</w:t>
      </w:r>
      <w:r>
        <w:rPr>
          <w:rFonts w:ascii="Times New Roman" w:hAnsi="Times New Roman"/>
          <w:color w:val="000000"/>
          <w:sz w:val="20"/>
        </w:rPr>
        <w:t>, the U.S. Supreme Court held that certain claims to naturally occurring substances are not patentable. Although we do not believe that any of the patents owned or licensed by us will be found invalid based on this decision, we cannot predict how future decisions by the courts,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validity or defense of our issued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 applications and the enforcement or defense of our issued patents, all of which could have a material adverse effect on our business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have limited resources, we may forego or delay pursuit of certain strategic opportunities or opportunities with certain programs, product candidates or indications that later prove to have greater commercial potential. We may focus on or pursue one indication over another potential indication and such development efforts may not be successful, which would cause us to delay the clinical development and approval of efzofitimod and other product candidates. In addition, our decisions as to which of our discovery programs to advance into preclinical and clinical development could preclude us from advancing others. Our resource allocation decisions may cause us to fail to capitalize on viable commercial products or profitable market opportunities. For example, based upon analyses from independent consultants that we have engaged and our own modeling, we estimate that there is a $2-5 billion market opportunity in pulmonary sarcoidosis and SSc-ILD. We estimate the target patient population for pulmonary sarcoidosis is approximately 38,000 restrictive lung disease patients, and approximately 24,000 mixed / diffusion-limited lung disease patients. We estimate the target patient population for Ssc-ILD is 60,000 patients. Depending on the accuracy of this estimate, we may not be most efficiently allocating resources toward the advancement of efzofitimod versus the advancement of other development efforts.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success depends on our ability to retain key employees, consultants and advisors and to attract, retain and motivate qualified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Restructuring Plan, our board of directors approved the separation of employment of Jill M. Broadfoot as our Chief Financial Officer and Nancy E. Denyes as our General Counsel, expected to be effective September 30, 2026. While we expect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Brandon Yaras, our Vice President, Finance, to succeed Ms. Broadfoot as our Chief Financial Officer, effective as of Ms. Broadfoot’s separation of employment, we cannot predict the impact that these changes to our executive team will have on our operations or our ability to achieve our objectives. We expect Ms. Broadfoot and Ms. Denyes to serve as consultants for a transition period following the separation of their employment with us, but either can terminate their respective consulting arrangements with us upon 15 days’ notice, and we expect there to be some inefficiencies in our operations as well as loss of continuity and accumulated knowledge during and after the transition period. We also expect the Restructuring Plan may result in the diversion of time and focus from our remaining executive team and other employees.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response to competition, higher rates of inflation, labor shortages and the current price of our common stock, we may need to adjust employee cash compensation, which would affect our operating costs and our margins, or equity compensation, which would affect our outstanding share count and cause dilution to existing stockholders. Because our equity compensation has historically consisted of stock options, given the drop in the price of our common stock, we may need to provide existing employees with additional equity compensation, which would negatively affect our outstanding share count and cause dilution to existing stockholders. We may not be able to attract and retain personnel on acceptable terms given the competition among numerous pharmaceutical and biotechnology companies for individuals with similar skill sets. The Restructuring Plan may also make it more difficult to attract qualified personnel, and it may make it more difficult to motivate or retain our remaining personnel. In addition, the available pool of skilled employees may be further reduced if immigration laws or their application continue to change in a manner that further increases restrictions on immigration. Further,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 </w:t>
      </w:r>
    </w:p>
    <w:p>
      <w:pPr>
        <w:pStyle w:val="TextBody"/>
        <w:bidi w:val="0"/>
        <w:jc w:val="both"/>
        <w:rPr>
          <w:rFonts w:ascii="Times New Roman" w:hAnsi="Times New Roman"/>
          <w:b/>
          <w:i/>
          <w:color w:val="000000"/>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undertake internal restructuring activities as we continue to evaluate and attempt to optimize our cost and operating structure in light of developments in our business strategy and long-term operating plans. For example, in August 2026, our board of directors approved implementation of the Restructuring Plan.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and accumulated knowledge and add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a variety of risks associated with international operations that could materially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conduct certain research activities through Pangu BioPharma Limited, in collaboration with the Hong Kong University of Science and Technology. Additionally, we have conducted clinical trials in the United States, EU, Brazil, Japan and in Australia and may conduct future clinical trials internationally. Some countries, such as Brazil, require that clinical trial participants receive the product candidate at no cost even after the clinical trial has ended. We would not be able to recover any profit for these patients and depending on the number of patients, duration of the treatment and numerous other factors, such regulations could harm our business, prospects, financial condition and results of operations significantly. Further,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We are, and we expect that we will continue to be, subject to a variety of risks related to international operations, including, but not limited to: liquidity concerns at, and failures of, banks and other financial institutions or other disruptions in the banking system or financing markets; tariffs and trade tensions; different regulatory requirements for approval of drugs and biologics in foreign countries; reduced or uncertain protection for intellectual property; unexpected changes in tariffs, trade barriers and regulatory requirements; economic weakness, including labor shortages, economic slowdowns, recessions, inflation, monetary supply shifts, higher interest rates and tightening of credit markets; political instability in particular foreign economies and markets, including global geopolitical tension and armed conflicts; compliance with tax, employment, immigration and labor laws for employees living or traveling abroad; foreign currency fluctuations, which could result in reduced revenues and other obligations incident to doing business in another country; and the global impacts of potential future health pandemics.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failure to continue our international operations or to commercialize our product candidates outside of the United States may impair our ability to generate revenues and harm our business, prospects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significant regulatory sanctions and cause serious harm to our reputation. We have adopted a code of business conduct and ethics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been, and could be in the future, subject to securities class action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Securities class action litigation has often been brought against companies following a decline in the market price of their securities. This risk is especially relevant for us because pharmaceutical companies, including our company, have experienced significant stock price volatility. As described in this report under the caption “Legal Proceedings,” we, our chief executive officer and our chief financial officer are subject to securities class action complaints that were filed in October 2025. If we are not successful in the defense of these claims, we may have to make significant payments to, or other settlements with, our stockholders and their attorneys. Even if we are successful in the defense of these claims, such litigation has resulted, and could result in the future, in substantial costs and diversion of our management’s attention and resources, which could have a material adverse effect on our business, operating results or financial condition.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potential product liability, and, if successful claims are brought against us, we may incur substantial liability and costs. If the use of our product candidates harm patients, or is perceived to harm patients even when such harm is unrelated to our product candidates, our regulatory approvals could be revoked or otherwise negatively impacted and we could be subject to costly and damaging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impairment of our business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due to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our product candidates, if approved for commercial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(and the third parties with whom we work) are, or may become, subject to stringent and evolving U.S. and foreign laws, regulations, rules, policies, contractual obligations, industry standards, and other obligations related to data privacy and security. Our (or the third-parties with whom we work) actual or perceived failure to comply with such obligations could have a material adverse effect on our business and financial condition, including a disruption of clinical trials or commercialization of products; regulatory investigations or actions; litigation (including class claims) and mass arbitration demands; fines and penalties; reputational harm; loss of revenue or profits; and other adverse business consequences. *</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receive, store, process, use, generate, transfer, disclose, make accessible, protect, secure, dispose of, transmit and share (Process or Processing) personal data and other sensitive information, including information we or the third parties with whom we work (such as CROs and clinical trial sites) collect about patients and healthcare providers in connection with clinical trials necessary to operate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Therefore, our data Processing activities subject us to numerous data privacy and security laws, regulations, rules, guidance, and industry standards as well as external and internal data privacy and security policies, contractual requirements and other obligations that apply to the Processing of personal (and other sensitive) data both by us and the third parties with whom we work (collectively, Data Protection Requirements). The number and scope of the Data Protection Requirements are changing, becoming increasingly stringent, creating uncertainty, subject to differing applications and interpretations, and may be inconsistent between jurisdictions. These Data Protection Requirements may require us to change our business model. New Data Protection Requirements may be proposed or enacted. Additionally, given the breadth and evolving nature of Data Protection Requirements (and consumers’ data privacy expectations), preparing for and complying with these requirements is rigorous, time-intensive and requires significant resources and a review of our technologies, systems and practices, as well as those of any third parties with whom we work. We may at times fail (or be perceived to have failed) in our efforts to comply with our Data Protection Requirements. Moreover, despite our efforts, our personnel or third parties with whom we work may fail to comply with such obligations, which could negatively impact our business operations and compliance posture. </w:t>
      </w:r>
    </w:p>
    <w:p>
      <w:pPr>
        <w:pStyle w:val="TextBody"/>
        <w:bidi w:val="0"/>
        <w:spacing w:before="240" w:after="283"/>
        <w:jc w:val="both"/>
        <w:rPr>
          <w:rFonts w:ascii="Times New Roman" w:hAnsi="Times New Roman"/>
          <w:sz w:val="20"/>
        </w:rPr>
      </w:pPr>
      <w:r>
        <w:rPr>
          <w:rFonts w:ascii="Times New Roman" w:hAnsi="Times New Roman"/>
          <w:color w:val="000000"/>
          <w:sz w:val="20"/>
        </w:rPr>
        <w:t>If we or the third parties with whom we work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(including class claims and mass arbitration demands) against us for our actual or perceived failure to comply with the Data Protection Requirements.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r>
        <w:rPr>
          <w:rFonts w:ascii="Times New Roman" w:hAnsi="Times New Roman"/>
          <w:color w:val="000000"/>
          <w:sz w:val="20"/>
          <w:u w:val="single"/>
        </w:rPr>
        <w:t xml:space="preserve"> </w:t>
      </w:r>
      <w:r>
        <w:rPr>
          <w:rFonts w:ascii="Times New Roman" w:hAnsi="Times New Roman"/>
          <w:color w:val="000000"/>
          <w:sz w:val="20"/>
        </w:rPr>
        <w:t xml:space="preserve">Any of these events could have a material adverse effect on our reputation, business, or financial condition, and could lead to a loss of actual or prospective customers, or third parties with whom we work; interrupt or stop our clinical trials; result in an inability to Process personal data or to operate in certain jurisdictions; limit our ability to develop or commercialize our products; require us to revise, restructure or substantially change our operations; or otherwise materially adversely affect our operations (each, a Material Adverse Impact).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Numerous U.S. states have enacted comprehensive information privacy laws that impose certain obligations on covered businesses, including providing specific disclosures in privacy notices and affording residents with certain rights concerning their personal data.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for intentional violation and allows private litigants affected by certain data breaches to recover significant statutory damages. Although the CCPA exempts some data Processed in the context of clinical trials, the CCPA may increase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costs and potential liability with respect to other personal data maintained about California residents. In addition, the CPRA expanded the CCPA’s requirements and established a regulatory agency to implement and enforce the law. Other states have also passed or are considering comprehensive privacy laws, with actions also being considered at the federal and local levels, and we expect more states to pass similar laws in the future. These state laws and the CCPA provide individuals with certain rights concerning their personal data, including the right to access, correct, or delete certain personal data,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may further complicate compliance efforts, and may increase legal risk and compliance costs for us and the third parties with whom we work.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We may become subject to an increasing number of foreign privacy laws, particularly as we have begun to sponsor clinical trials in foreign jurisdictions, including in Europe. For example, failure to comply with the requirements of the EU and UK GDPR may result in warning letters, litigation, orders banning the Processing of personal data, mandatory audits and financial penalties, including fines of up to 4% of the total worldwide annual turnover, or €20,000,000 under the EU GDPR (17,500,000 British Pounds under the UK GDPR), in either case, whichever is greater; or private litigation related to Processing of personal data brought by classes of data subjects or consumer protection organizations authorized at law to represent their interests. As another example, the LGPD broadly regulates Processing personal data of individuals in Brazil and imposes compliance obligations and penalties comparable to those of the EU GDPR.</w:t>
      </w:r>
    </w:p>
    <w:p>
      <w:pPr>
        <w:pStyle w:val="TextBody"/>
        <w:bidi w:val="0"/>
        <w:spacing w:before="240" w:after="283"/>
        <w:jc w:val="both"/>
        <w:rPr>
          <w:rFonts w:ascii="Times New Roman" w:hAnsi="Times New Roman"/>
          <w:sz w:val="20"/>
        </w:rPr>
      </w:pPr>
      <w:r>
        <w:rPr>
          <w:rFonts w:ascii="Times New Roman" w:hAnsi="Times New Roman"/>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for relevant U.S.-based organizations who self-certify compliance and participate in the Framework)</w:t>
      </w:r>
      <w:r>
        <w:rPr>
          <w:rFonts w:ascii="Times New Roman" w:hAnsi="Times New Roman"/>
          <w:color w:val="000000"/>
          <w:sz w:val="20"/>
          <w:u w:val="single"/>
        </w:rPr>
        <w:t>,</w:t>
      </w:r>
      <w:r>
        <w:rPr>
          <w:rFonts w:ascii="Times New Roman" w:hAnsi="Times New Roman"/>
          <w:color w:val="000000"/>
          <w:sz w:val="20"/>
        </w:rPr>
        <w:t xml:space="preserve">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and UK GDPR’s cross-border data transfer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EU and UK GDPR and the CCPA, may require our customers to impose specific contractual restrictions on their service providers. We also publish privacy policies, marketing materials, white papers, and other statements, related to, compliance with certain certifications,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Times New Roman" w:hAnsi="Times New Roman"/>
          <w:b/>
          <w:i/>
          <w:color w:val="000000"/>
          <w:sz w:val="20"/>
        </w:rPr>
        <w:t>Unfavorable macroeconomic conditions could adversely affect our business, financial condition or</w:t>
      </w:r>
      <w:r>
        <w:rPr>
          <w:rFonts w:ascii="Times New Roman" w:hAnsi="Times New Roman"/>
          <w:color w:val="000000"/>
          <w:sz w:val="20"/>
        </w:rPr>
        <w:t xml:space="preserve"> </w:t>
      </w:r>
      <w:r>
        <w:rPr>
          <w:rFonts w:ascii="Times New Roman" w:hAnsi="Times New Roman"/>
          <w:b/>
          <w:i/>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For example, the global financial crisis caused volatility and disruptions in the capital and credit markets. In addition, due to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political and economic conditions, including global geopolitical tension, armed conflicts, including the ongoing Ukraine-Russia conflict and conflicts in the Middle East, increasing tensions between the U.S. and China, liquidity concerns at, and failures of, banks and other financial institutions or other disruptions in the banking system or financing markets, tariffs and trade tensions, the recent and potential future shutdowns of the federal government and the resulting effects on its regulatory agencies, higher interest rates and financial and credit market fluctuations, volatility in the capital markets, the global credit and financial markets have experienced extreme volatility and disruptions, including diminished liquidity and credit availability, declines in consumer confidence, declines in economic growth, volatility in unemployment rates, inflation and uncertainty about economic stability. Further, due to the escalation of the ongoing conflict involving the U.S. and Iran, the closure and risk of further closures of the Strait of Hormuz have imposed significant constraints on global oil and energy transportation and production. A severe or prolonged economic downturn, such as the global financial crisis, could result in a variety of risks to our business, including inability to raise additional capital when needed on acceptable terms, if at all. A weak or declining economy and rapid changes in U.S. or foreign trade policy (such as the imposition of tariffs and trade barriers) could also strain our CDMOs and CROs,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droughts, floods, fires, hurricanes or other natural disasters and our business continuity and disaster recovery plans may not adequately protect us from a serious disaster.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located in San Diego, California and our manufacturing activities are conducted by CDMOs and our clinical trials are conducted at various locations in the United States and abroad. Some of these geographic locations have in the past experienced natural disasters, including severe earthquakes. Earthquakes, droughts, floods, fires, hurricanes,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and clinical sites utilized by our CROs,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Additionally,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or enter into agreements with third parties to market and sell our product candidates, we may be unable to generate any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currently have any infrastructure for the sales, marketing and distribution of pharmaceutical products. In order to market our product candidates, if approved by the FDA or any other regulatory body, we must build our sales, marketing, distribution, managerial and other non-technical capabilities or make arrangements with third parties to perform these services. There are risks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enter into arrangements or collaborations with third parties to perform sales, marketing and distribution services, our product revenues or the profitability of these product revenues to us are likely to be lower than if we were to market, sell or distribute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third-party manufacturers to produce our product candidates, but we have not entered into agreements with any such manufacturers to support commercialization.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CDMOs may be unable to process validation activities necessary to enter into commercial supply agreements or otherwise negotiate agreements with the manufacturers to support our commercialization activities at commercially reasonable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run into technical or scientific issues related to development or manufacturing that we may be unable to resolve in a timely manner or with available funds. For example, in 2021, we engaged an additional CDMO to manufacture efzofitimod bulk drug substance. If the new CDMO experiences additional issues in validating the manufacturing process, particularly delays in producing efzofitimod in compliance with cGMP regulations, we could be forced to delay future clinical trials or the submission of regulatory approval applications to the FDA. In addition, due to the fact that all prior cGMP batches of efzofitimod, including those that we used in the EFZO-FIT study, have been produced by our prior CDMO, we will be required to complete comparability studies prior to using efzofitimod produced at the new CDMO’s facilities in subsequent clinical trials or submitting regulatory approval applications to the FDA. If we are unable to demonstrate such comparability to the satisfaction of the FDA, it may result in delays to future clinical trials or a deficiency in future regulatory applications. We have completed an analytical comparability assessment. The FDA has reviewed this analytical comparability assessment and no additional data was requested. If we or our CDMOs are unable to scale the manufacturing process to produce commercial quantities of our product candidates, or our CDMOs do not pass required regulatory pre-approval inspections, our commercialization efforts will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significant disruption in our relationships with our CDMOs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CDMOs and any manufacturers that we contract with in the future will result in delays in our ability to complete the clinical development of, or to commercialize, our product candidates, and may require us to incur additional costs.</w:t>
      </w:r>
    </w:p>
    <w:p>
      <w:pPr>
        <w:pStyle w:val="TextBody"/>
        <w:bidi w:val="0"/>
        <w:spacing w:before="240" w:after="283"/>
        <w:jc w:val="both"/>
        <w:rPr>
          <w:rFonts w:ascii="Times New Roman" w:hAnsi="Times New Roman"/>
          <w:sz w:val="20"/>
        </w:rPr>
      </w:pPr>
      <w:r>
        <w:rPr>
          <w:rFonts w:ascii="Times New Roman" w:hAnsi="Times New Roman"/>
          <w:b/>
          <w:i/>
          <w:color w:val="000000"/>
          <w:sz w:val="20"/>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We are aware of other companies that could compete with our product candidates in their target therapeutic indications, such as our lead candidate, efzofitimod, for the treatment of pulmonary sarcoidosis, SSc-ILD and other ILD.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commercial success of any current product candidate or future product candidates will depend upon the degree of market acceptance by physicians, patients, third-party payors and others in the medical community.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insurance coverage and reimbursement status of newly-approved products is uncertain. Failure to obtain or maintain adequate coverage and reimbursement for new or current products, if approved,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medicines are typically made by the Centers for Medicare &amp; Medicaid Services (CMS),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For example, the United States Department of Health and Human Services (HHS) imposes rebates on many Medicare Part B and Medicare Part D products to penalize price increases that outpace inflation on an annual basis. HHS also has been empowered to negotiate the price of certain single-source drugs that have been on the market for at least seven years and single-course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Reimbursement agencies in Europe may be more conservative than third-party payors in the United States.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 It is unclear how reform measures in the United States will impact prices of medical products in other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For example, the Patient Protection and Affordable Care Act, as amended by the Health Care and Education Reconciliation Act of 2010 (collectively, the ACA) was passed in March 2010, and substantially changed the way healthcare is financed by both governmental and private insurers. There have been amendments and executive, judicial and congressional challenges to certain aspects of the ACA.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on July 4, 2025, the annual reconciliation bill,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In the United States, we expect that additional federal healthcare reform measures will be adopted in the future, any of which could limit the amounts that the federal government will pay for healthcare products and services, which could result in reduced demand for our product candidates or additional pricing pressures.</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(sometimes referred to as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w:t>
      </w:r>
      <w:r>
        <w:rPr>
          <w:rFonts w:ascii="Times New Roman" w:hAnsi="Times New Roman"/>
          <w:i/>
          <w:color w:val="000000"/>
          <w:sz w:val="20"/>
        </w:rPr>
        <w:t>Loper Bright Enterprises v. Raimondo</w:t>
      </w:r>
      <w:r>
        <w:rPr>
          <w:rFonts w:ascii="Times New Roman" w:hAnsi="Times New Roman"/>
          <w:color w:val="000000"/>
          <w:sz w:val="20"/>
        </w:rPr>
        <w:t>, the United States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amend existing or enact new healthcare laws, and make changes to the Medicare Drug Price Negotiation Program We cannot predict what additional measures may be adopted or the impact of current and additional measures on the marketing, pricing and demand for our products, if approved, which could have a material adverse effect on our business, financial condition and results of operations.</w:t>
      </w:r>
    </w:p>
    <w:p>
      <w:pPr>
        <w:pStyle w:val="TextBody"/>
        <w:bidi w:val="0"/>
        <w:jc w:val="both"/>
        <w:rPr>
          <w:rFonts w:ascii="Times New Roman" w:hAnsi="Times New Roman"/>
          <w:color w:val="000000"/>
          <w:sz w:val="20"/>
        </w:rPr>
      </w:pPr>
      <w:r>
        <w:rPr>
          <w:rFonts w:ascii="Times New Roman" w:hAnsi="Times New Roman"/>
          <w:color w:val="000000"/>
          <w:sz w:val="20"/>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If coverage and reimbursement is available only to limited levels, we may not be able to successfully commercialize our product candidates for which we obtain marketing approval. As a result, we may have difficulty raising capital and our results of operations may be adversely impacted.</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operations and current and future relationships with investigators, healthcare professionals, consultants, third-party payors and customers may be subject, directly or indirectly, to federal and state healthcare fraud and abuse laws, false claims laws, transparency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do not currently have any products on the market, our current and future operations may be, directly or indirectly through our prescribers, customers and third-party payors, subject to various federal and state healthcare laws and regulations. The laws that may affect our ability to operate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which imposes certain obligations, including mandatory contractual terms, with respect to safeguarding the privacy, security and transmission of individually identifiable health information without appropriate authorization by covered entities, i.e. health plans, healthcare clearinghouses and certain healthcare providers, as well as their business associates and covered subcontractors that perform certain services for or on their behalf involving the use or disclosure of individually identifiable health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other healthcare professionals (such as physician assistants and nurse practitioners), and teaching hospitals, as well as ownership and investment interests held by the physicians described above and their immediate family members;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analogous state and foreign laws and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in order to distribute products commercially, we will need to comply with state laws that require the registration of manufacturers and wholesale distributors of drug and biological products in an applicable state, including, in certain states, manufacturers and distributors who ship products into the state even if such manufacturers or distributors have no place of business within the state. Some states also require pharmaceutical and biotechnology companies to establish marketing compliance programs, file periodic reports with the state, make periodic public disclosures on sales, marketing, pricing, clinical studies and other activities, and/or register their sales and medical representatives.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price of our common stock historically has been highly volatile and is likely to continue to be volatile,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has been volatile and could be subject to wide fluctuations in response to various factors, some of which are beyond our control. In addition to the factors discussed in this “Risk Factors” section and elsewhere in this Quarterly Report,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or delays in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sufficient quantities of product candidates for use in clinical trials or for commercial purposes;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imposition of a clinical hold on our product candidates or our inability to cause the clinical hold to be lifted;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in filing an IND or BLA for any of our product candidates and any adverse development or perceived adverse development with respect to the FDA’s review of that IND or BLA;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our strategic partners to perform under our collaborations or early termination of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realize the anticipated efficiencies or other benefits from the Restructuring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successfully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limited market sizes and pricing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us or our licensors to prosecute, maintain or enforce intellectual property rights covering our product candidates and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current or future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product supply for our product candidates or the inability to do so at acceptable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introduction of new products, services or technologies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additional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financial or operational projections we may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the financial or operational projections of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perception of the biopharmaceutical industry by the public, politicians, legislatures, regulators and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acquisitions, strategic partnerships, joint ventures or capital commitments by us or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securities or industry analysts issue an adverse or misleading opinion regarding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common stock by us or our stockholders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additional reverse stock split if we are unable to maintain a stock price above $1.00 per share of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political and macroeconomic conditions, including global geopolitical tension, armed conflicts, potential future health pandemics, liquidity concerns at, and failures of, banks and other financial institutions or other disruptions in the banking system or financing markets, tariffs and trade tensions, the recent and potential future shutdowns of the federal government and the resulting effects on its regulatory agencies, higher interest rates and financial and credit market fluctuations, volatility in the capital markets, and other geopolitical and macroeconomic conditions, including labor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shortages, economic slowdowns, recessions, inflation and monetary supply shifts, rising interest rates and tightening of credit markets, and the resulting impacts on our business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companies trading in the stock market in general, and on the Nasdaq Capital Market and biotechnology companies in particular, have experienced extreme price and volume fluctuations, and we have in the past experienced volatility that has been unrelated or disproportionate to our operating performance. From January 1, 2025 through August 6, 2026 the closing price of our common stock has ranged between $0.40 and $6.61 per share. Broad market and industry factors may negatively affect the market price of our common stock, regardless of our actual operating performance.</w:t>
      </w:r>
    </w:p>
    <w:p>
      <w:pPr>
        <w:pStyle w:val="TextBody"/>
        <w:bidi w:val="0"/>
        <w:spacing w:before="240" w:after="283"/>
        <w:jc w:val="both"/>
        <w:rPr>
          <w:rFonts w:ascii="Times New Roman" w:hAnsi="Times New Roman"/>
          <w:sz w:val="20"/>
        </w:rPr>
      </w:pPr>
      <w:r>
        <w:rPr>
          <w:rFonts w:ascii="Times New Roman" w:hAnsi="Times New Roman"/>
          <w:b/>
          <w:i/>
          <w:color w:val="000000"/>
          <w:sz w:val="20"/>
        </w:rPr>
        <w:t>Our executive officers, directors, 5% holders and their affiliates currently own a significant percentage of our stock and will be able to exert significant control over matters submitted to stockholders for approval</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August 6, 2026 based on the latest information available to us, our executive officers, directors, holders known by us to own 5% of our voting stock and their affiliates own approximately 9.0% of our voting stock. Therefore, our executive officers, directors, holders known by us to own 5% of our voting stock and their affiliates may have the ability to influence us through their ownership positions and may be able to influence all matters requiring stockholder approval.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Future sales and issuances of equity securities could result in dilution to our stockholders, impose restrictions or limitations on our business and could cause our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additional capital in the future to continue our planned operations, and we may seek additional funding through a combination of equity or debt offerings, grant funding, collaborations, strategic partnerships and/or licensing arrangements. </w:t>
      </w:r>
    </w:p>
    <w:p>
      <w:pPr>
        <w:pStyle w:val="TextBody"/>
        <w:bidi w:val="0"/>
        <w:spacing w:before="240" w:after="283"/>
        <w:jc w:val="both"/>
        <w:rPr>
          <w:rFonts w:ascii="Times New Roman" w:hAnsi="Times New Roman"/>
          <w:sz w:val="20"/>
        </w:rPr>
      </w:pPr>
      <w:r>
        <w:rPr>
          <w:rFonts w:ascii="Times New Roman" w:hAnsi="Times New Roman"/>
          <w:color w:val="000000"/>
          <w:sz w:val="20"/>
        </w:rPr>
        <w:t>In April 2022, we entered into an Open Market Sale Agreement</w:t>
      </w:r>
      <w:r>
        <w:rPr>
          <w:rFonts w:ascii="Times New Roman" w:hAnsi="Times New Roman"/>
          <w:color w:val="000000"/>
          <w:sz w:val="13"/>
        </w:rPr>
        <w:t>SM</w:t>
      </w:r>
      <w:r>
        <w:rPr>
          <w:rFonts w:ascii="Times New Roman" w:hAnsi="Times New Roman"/>
          <w:color w:val="000000"/>
          <w:sz w:val="20"/>
        </w:rPr>
        <w:t xml:space="preserve"> with Jefferies implementing the Jefferies ATM Offering Program. In December 2024, we amended the Jefferies ATM Offering Program. Under the Jefferies ATM Offering Program we may offer and sell, from time to time and at our option, up to an aggregate of $215.0 million of shares of our common stock (inclusive of $65.0 million of sales made prior to the amendment) through Jefferies, acting as sales agent. Jefferies is entitled to a fixed commission rate of up to 3.0% of the gross sales proceeds of shares sold under the Jefferies ATM Offering Program. During the year ended December 31, 2025, we sold an aggregate of 13,887,177 shares of common stock at a weighted-average price of $4.94 per share for net proceeds of approximately $66.4 million under the Jefferies ATM Offering Program. We did not utilize the ATM Offering Program during the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Any sales of securities by these stockholders could have a material adverse effect on the trading price of our common stock, even if there is no relationship between such sales and the performance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also registered or plan to register all common stock that we may issue under our employee benefits plans as well as shares of common stock underlying options to purchase shares of our common stock that were granted as inducement grants. As a result, once registered, these shares can be freely sold in the public market upon issuance, subject to restrictions under the securities laws. In addition, our directors and executive officers have established and may establish in the future programmed selling plans under Rule 10b5-1 of the Securities Exchange Act of 1934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pStyle w:val="TextBody"/>
        <w:bidi w:val="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able to comply with all applicable listing requirements or standards of The Nasdaq Capital Market and Nasdaq could delist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common stock is currently listed on The Nasdaq Capital Market. In order to maintain that listing, we must satisfy minimum financial and other continued listing requirements and standards. One such requirement is that we maintain a minimum bid price of at least $1.00 per share for our common stock. On December 4, 2025, we received a deficiency notice (the Notice) from the listing qualifications staff (the Staff) of The Nasdaq Stock Market LLC (Nasdaq) notifying us that, for the last 30 consecutive business days preceding the date of the Notice, the bid price of our common stock had closed below $1.00 per share, the minimum closing bid price required by the continued listing requirements of Nasdaq Listing Rule 5550(a)(2). The Notice had no immediate effect on the listing of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our common stock on The Nasdaq Capital Market. In accordance with Nasdaq Listing Rule 5810(c)(3)(A), we had 180 calendar days, or until June 2, 2026 (the Initial Compliance Date), to regain compliance with the minimum bid price requirement by having shares of our common stock maintain a minimum closing bid price of at least $1.00 per share for a minimum of 10 consecutive business days before the Initial Compliance Date. On June 3, 2026, we received a letter from the Staff (the Letter) notifying us that we are eligible for an additional 180-day period, or until November 30, 2026 (the Compliance Date), to regain compliance, based on the Staff’s determination of us meeting the continued listing requirement for market value of publicly held shares and all other initial listing standards for The Nasdaq Capital Market, with the exception of the minimum bid price requirement, and our written notice to Nasdaq of our intention to cure the deficiency during the second compliance period, by effecting a reverse stock split, if necessary. The Letter has no immediate impact on the listing of our common stock on The Nasdaq Capital Market. If at any time during the second compliance period the closing bid price of our common stock is at least $1.00 per share for a minimum of 10 consecutive business days (which may be extended to be a period of up to 20 consecutive business days in the discretion of the Staff), Nasdaq will provide us with written confirmation of compliance. However, if it appears to the Staff that we will not be able to cure the deficiency, and we do not regain compliance by the Compliance Date, the Staff will provide written notification that our common stock is subject to delisting. At that time, we may appeal the delisting determination to a hearings panel pursuant to the procedures set forth in the applicable Nasdaq listing rules. However, there can be no assurance that, if we receive a delisting notice and appeal the delisting determination by Nasdaq to the panel, such appeal would be successful.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Delisting could also cause a loss of confidence in us from our collaborators, vendors, suppliers and employees, which could harm our business and future prospects.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pStyle w:val="TextBody"/>
        <w:bidi w:val="0"/>
        <w:jc w:val="both"/>
        <w:rPr>
          <w:rFonts w:ascii="Times New Roman" w:hAnsi="Times New Roman"/>
          <w:sz w:val="20"/>
        </w:rPr>
      </w:pPr>
      <w:r>
        <w:rPr>
          <w:rFonts w:ascii="Times New Roman" w:hAnsi="Times New Roman"/>
          <w:b/>
          <w:i/>
          <w:color w:val="000000"/>
          <w:sz w:val="20"/>
        </w:rPr>
        <w:t>Our ability to use our net operating losses to offset future taxable income may be subject to certain limitations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we do not expect to become profitable in the near future and we may never achieve profitability. Net operating loss (NOL) carryforwards that expire unused will be unavailable to offset future income tax liabilities. Federal NOLs incurred in tax years beginning after December 31, 2017, may be carried forward indefinitely, but the deductibility of such federal NOL carryforwards in a taxable year is limited to 80% of taxable income in such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under Section 382 of the Internal Revenue Code of 1986, as amended (Code) a corporation that undergoes an “ownership change” (as defined under Section 382 of the Code and applicable Treasury Regulations) is subject to limitations on its ability to utilize its pre-change NOL carryforwards to offset post-change taxable income. We have experienced ownership changes in the past, and may experience future ownership changes, under Section 382 of the Code that could affect our ability to utilize our NOL carryforwards to offset our income. Furthermore, our ability to utilize NOLs of companies that we may acquire in the future may be subject to limitations. There is also a risk that due to regulatory changes, such as suspensions on the use of NOLs or other unforeseen reasons, portions of our existing NOLs could expire or otherwise be unavailable to reduce future income tax liabilities, including for state tax purposes. For example, California imposed limits on the usability of California state net operating losses to offset taxable income in tax years beginning after 2023 and before 2027. For these reasons, we may not be able to utilize a material portion of our NOLs, even if we attain profitability, which could potentially result in increased future tax liability to us and could adversely affect our operating results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Uncertainties in the interpretation and application of existing, new and proposed tax laws and regulations could materially affect our tax obligations and effective tax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intend to pay dividends on our common stock, and therefore any returns will be limited to the value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future debt instruments may materially restrict our ability to pay dividends on our common stock. Any future determination related to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as well as provisions of Delaware law, could make it more difficult for a third party to remove our current management, acquire us or increase the cost of acquiring us, even if doing so would benefit our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amended and restated bylaws include provisions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our board of directors, our chief executive officer or our president;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expressly authorize our board of directors to modify, alter or repeal our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and restated certificate of incorporation and amended and restated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bylaws provide that the Court of Chancery of the State of Delaware will be the sole and exclusive forum for (i) any derivative action or proceeding brought on our behalf, (ii) any action asserting a claim of breach of a fiduciary duty owed by any of our directors, officers or employees to our company or our stockholders, (iii) any action asserting a claim against our company arising pursuant to any provision of the Delaware General Corporation Law or our amended and restated certificate of incorporation or bylaws, or (iv) any action asserting a claim against our company governed by the internal affairs doctrine. This choice of forum provision does not apply to suits brought to enforce a duty or liability created by the Exchange Act, or any other claim for which the federal courts have exclusive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pStyle w:val="TextBody"/>
        <w:bidi w:val="0"/>
        <w:spacing w:before="240" w:after="283"/>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information technology systems or data, or those maintained by the third parties with whom we work, are or were compromised, this could result in a Material Adverse Impact.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Process (as defined above) proprietary, confidential and sensitive information, including personal data (including key-coded data, health information and other special categories of personal data), intellectual property, trade secrets, and proprietary business information owned or controlled by ourselves or other third party partners (collectively, Sensitive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the third parties with whom we work utilize information technology systems to Process Sensitive Information in connection with our business activities, and we face a variety of evolving threats that could cause security incidents.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 state supported actors. Some actors now engage and are expected to continue to engage in cyber-attacks, including without limitation nation 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conduct our business.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the third parties with whom we work are subject to a variety of evolving threats, including but not limited to software bugs; malicious code (such as viruses and worms); denial-of-service attacks; credential stuffing; credential harvesting; malware (including as a result of advanced persistent threat intrusions; natural disasters; terrorism; war; telecommunication and electrical failures; ransomware attacks; social-engineering attacks (including through deep fakes, which may be increasingly more difficult to identify as fake, and phishing attacks); server malfunctions; software or hardware failures; supply-chain attacks; loss of data or other computer assets; attacks enhanced or facilitated by AI; and other similar threats. Particularly, severe ransomware attacks are becoming increasingly prevalent and can lead to significant interruptions, delays, or outages in our operations, disruption of clinical trials, loss of data (including data related to clinical trials), and other Material Adverse Impacts (as defined above). To alleviate the financial, operational and reputational impact of a ransomware attack, it may be preferable to make extortion payments, but we may be unwilling or unable to do so (including, for example, if applicable laws or regulations prohibit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remote work has increased the risk to our information technology assets and data, as more of our employees utilize network connections, computers and devices outside of our premises and networks, including working at home, while in transit and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third parties, including service providers and subprocessors, to help us operate our business and engage in Processing or otherwise share Sensitive Information with our partners or other third parties in conjunction with our business. These third parties and their technologies operate critical business systems to Process Sensitive Information in a variety of contexts, including, without limitation, cloud-based infrastructure, data center facilities, encryption and authentication technology,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Material Adverse Impacts. While we may be entitled to damages if the third parties with whom we work fail to satisfy their privacy or security-related obligations to us, any award may be insufficient to cover our damages, or we may be unable to recover such award. Similarly, supply chain attacks have increased in frequency and severity, and we cannot guarantee that third parties’ infrastructure in our supply chain or that of the third parties with whom we work have not been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phishing attempts in the past, and expect such attempts will continue in the future. A security incident or other interruption could disrupt our ability (and that of third parties with whom we work) to provide our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fundamentally change our business activities and practices, or modify our operations, including our clinical trial activities, or information technology in an effort to protect against security incidents and to mitigate, detect, and remediate actual and potential vulnerabilities. Applicable Data Protection Requirements (as defined above) may require us to implement specific security measures to protect against security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we, or the third parties with whom we work, will be successful in preventing a security incident or mitigating their effects. We take steps designed to detect, mitigate and remediate vulnerabilities in our information technology systems (such as our hardware and/or software, including that of third parties with whom we work). We may not, however, detect and remediate all such vulnerabilities including that of third parties with whom we work, on a timely basis. Further, we may experience delays in developing and deploying remedial measures and patches designed to address identified vulnerabilities. Vulnerabilities could be exploited and result in a security incident. These vulnerabilities, bugs, errors or defects alone, or a combination of them, could pose material risks to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applicable Data Protection Requirements may require us, or we may voluntarily choose, to notify relevant stakeholders of security incidents, or take other actions, such as providing credit monitoring and identity theft protection services. Such disclosures and related actions can be costly, and the disclosures or the failure to comply with such applicable requirements could lead to Material Adverse Impacts.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the third parties with whom we work experience or in the future experience (or are perceived to have experienced) any security incident(s), we could suffer reputational harm, face litigation or adverse regulatory actions, fines, other penalties, audits, inspections, additional reporting requirements and/or oversight, restrictions on Processing Sensitive Information, indemnification obligations, negative publicity, business interruptions, and diversion of funds. For example, the loss of data from completed clinical trials for our product candidates could result in delays in our regulatory approval efforts and significantly increase our costs. As a result, we could experience Material Adverse Impacts.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insurance coverage, will be adequate or otherwise protect us from or adequately mitigate liabilities or damages with respect to claims, costs, expenses, litigation, fines, penalties, business loss, data loss, regulatory actions or Material Adverse Impacts arising out of our Processing operations, data privacy and security practices, or security incidents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have a Material Adverse Impact.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anti-corruption laws in the jurisdictions in which we operate.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a number of anti-corruption laws, including the Foreign Corrupt Practices Act of 1977, as amended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effect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and will continue to incur significant costs as a result of laws, rules, regulations and standards relating to various aspects of our business, including corporate governance, work force initiatives and operating as a public company, and failure to comply with such laws, rules, regulations and standards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Laws, rules, regulations and standards affecting various aspects of our business have resulted in and will continue to result in significant costs to us as we evaluate their implications and respond to their requirements. Such laws, rules, regulations and standards include the Sarbanes-Oxley Act of 2002, rules subsequently implemented by the SEC, The Nasdaq Stock Market, the Dodd-Frank Wall Street Reform and Consumer Protection Act (the Dodd-Frank Act) enacted in July 2010 and executive orders. Certain laws, rules, regulations and standards are subject to varying interpretations in some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policies and governance practices. For example,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also lead to substantial new regulations and disclosure obligations, which may lead to additional compliance costs and impact the manner in which we operate our business in ways we cannot currently anticipate. If we fail, or are perceived to fail, to comply with these laws, rules, regulations and standards, our reputation may be harmed and we might be subject to litigation, sanctions, investigations or other regulatory proceedings, which would adversely affect our financial results and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management and other personnel devote a substantial amount of time to these compliance initiatives. Moreover, these laws, rules, regulations and standards increase our legal and financial compliance costs and make some activities more time-consuming and costly. For example, they make it more difficult and more expensive for us to maintain director and officer liability insurance and we have been required to incur substantial costs to maintain our current levels of such coverage. In the future, we may be forced to accept reduced policy limits and coverage or incur substantially higher costs to obtain coverage that is the same or similar to our current coverage. The impact of these events could make it more difficult for us to attract and retain qualified persons to serve as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executive officers or on our board of directors and board committees. We cannot predict or estimate the total costs we may incur or the timing of such costs to comply with these laws, rules, regulations and standards.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no or few analysts commence coverage or 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broad discretion in the use of our cash, cash equivalents and available-for-sale investments and are exposed to risks related to the marketable securities we may purchase.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considerable discretion in the application of our existing cash, cash equivalents and available-for-sale investments. We expect to use our existing cash to fund research and development activities and for working capital and general corporate purposes, including funding the costs of operating as a public company. In addition, pending their use, we may invest our existing cash in certain short-term investments, including but not limited to investment-grade, interest-bearing securities. Historically, investment in these securities has been highly liquid and has experienced only very limited defaults. However, volatility in the financial markets in recent years has created additional uncertainty regarding the liquidity and safety of these investments. Additionally, we may use this cash, cash equivalents and available-for-sale investments for purposes that do not yield a significant return or any return at all for our stockholders.</w:t>
      </w:r>
    </w:p>
    <w:p>
      <w:pPr>
        <w:pStyle w:val="TextBody"/>
        <w:bidi w:val="0"/>
        <w:spacing w:before="200" w:after="283"/>
        <w:jc w:val="left"/>
        <w:rPr>
          <w:rFonts w:ascii="Times New Roman" w:hAnsi="Times New Roman"/>
          <w:b/>
          <w:color w:val="000000"/>
          <w:sz w:val="20"/>
        </w:rPr>
      </w:pPr>
      <w:bookmarkStart w:id="19" w:name="item_2_unregistered_sales_of_equity"/>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0" w:name="item_3_defaults_upon_senior_securities"/>
      <w:bookmarkEnd w:id="20"/>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1" w:name="item_4_mine_safety_disclosure"/>
      <w:bookmarkEnd w:id="21"/>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quarter ended June 30, 2026, no director or officer (as defined in Exchange Act Rule 16a-1(f)) adopted or terminated any "Rule 10b5-1 trading arrangement" or "non-Rule 10b5-1 trading arrangement" as those terms are defined in Item 408 of Regulation S-K. </w:t>
      </w:r>
    </w:p>
    <w:p>
      <w:pPr>
        <w:pStyle w:val="TextBody"/>
        <w:bidi w:val="0"/>
        <w:spacing w:before="240" w:after="120"/>
        <w:jc w:val="both"/>
        <w:rPr>
          <w:rFonts w:ascii="Times New Roman" w:hAnsi="Times New Roman"/>
          <w:sz w:val="20"/>
        </w:rPr>
      </w:pPr>
      <w:r>
        <w:rPr>
          <w:rFonts w:ascii="Times New Roman" w:hAnsi="Times New Roman"/>
          <w:b/>
          <w:i/>
          <w:color w:val="000000"/>
          <w:sz w:val="20"/>
        </w:rPr>
        <w:t>Costs Associated with Exit or Disposal Activities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August 7, 2026, our board of directors approved the implementation of a corporate restructuring and program prioritization plan (the Restructuring Plan) to streamline our operations and conserve capital prior to the potential initiation of the Planned Phase 3 Study. In connection with the Restructuring Plan, we committed to a reduction in our total workforce by approximately 60% to 20 full-time employees, and we estimate that the Restructuring Plan will reduce annualized operating expenses by approximately $13 million, beginning in the fourth quarter of 2026. We began notifying affected employees on August 7, 2026 and expect the Restructuring Plan to be substantially completed in the second half of 2026. We estimate that we will record charges of approximately $4.2 million for employee severance, employee health benefit obligations and other related termination benefits. Severance payments are expected to be paid in full between August 2026 and September 2027, and we expect to incur the charges in the third quarter of 2026. The charges that we expect to incur in connection with, or as a result of, the Restructuring Plan, are subject to a number of assumptions, and actual results may differ materially. We may also incur other charges or cash expenditures not currently contemplated due to events that may occur as a result of, or associated with, the Restructuring Plan. </w:t>
      </w:r>
    </w:p>
    <w:p>
      <w:pPr>
        <w:pStyle w:val="TextBody"/>
        <w:bidi w:val="0"/>
        <w:spacing w:before="0" w:after="120"/>
        <w:jc w:val="both"/>
        <w:rPr>
          <w:rFonts w:ascii="Times New Roman" w:hAnsi="Times New Roman"/>
          <w:sz w:val="20"/>
        </w:rPr>
      </w:pPr>
      <w:r>
        <w:rPr>
          <w:rFonts w:ascii="Times New Roman" w:hAnsi="Times New Roman"/>
          <w:b/>
          <w:i/>
          <w:color w:val="000000"/>
          <w:sz w:val="20"/>
        </w:rPr>
        <w:t>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i/>
          <w:color w:val="000000"/>
          <w:sz w:val="20"/>
        </w:rPr>
        <w:t>Chief Financial Officer and General Counsel Separation and Consulting Agreements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7, 2026, in connection with the Restructuring Plan, our board of directors approved the separation of employment of Jill M. Broadfoot as our Chief Financial Officer and Nancy E. Denyes as our General Counsel, expected to be effective September 30, 2026 (the actual date of such separation of employment, the Transition Date). We have offered Ms. Broadfoot and Ms. Denyes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Separation Agreements in connection with the separation of their employment (the Separation Agreements). Additionally, in connection with the transition support that Ms. Broadfoot and Ms. Denyes have agreed to provide, we, Ms. Broadfoot and Ms. Denyes will enter into Consulting Agreements expected to take effect October 1, 2026 (the Consulting Agreements).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Separation Agreements generally provide that, subject to Ms. Broadfoot’s and Ms. Denyes's execution of a general release and waiver of claims, we will provide Ms. Broadfoot and Ms. Denyes the following severance benefits in connection with the separation of their employment, consistent with our Executive Severance and Change in Control Policy (the Policy): we will pay Ms. Broadfoot and Ms. Denyes twelve months of their base salary, less taxes and withholdings, in installments over the twelve-month period following the Transition Date, we will reimburse Ms. Broadfoot’s and Ms. Denyes's premiums to continue healthcare coverage under COBRA for up to twelve months, and each of Ms. Broadfoot and Ms. Denyes will be entitled to acceleration of the time-based vesting provision of outstanding stock options for an additional twelve months following the date of separation. The Consulting Agreements generally provide that Ms. Broadfoot and Ms. Denyes will provide consulting assistance and transition support to us for up to twelve months following the Transition Date, or September 30, 2027, which may be extended upon mutual agreement by us, on the one hand, and Ms. Broadfoot or Ms. Denyes, on the other. The respective Consulting Agreement may be terminated by either us, Ms. Broadfoot or Ms. Denyes, as applicable, upon 15 days’ notice to the other party. We will pay Ms. Broadfoot and Ms. Denyes an hourly rate for the services they provide under the Consulting Agreements. Additionally, our board of directors approved extending the post-termination exercise periods of Ms. Broadfoot’s and Ms. Denyes's vested and outstanding stock options granted by us until three months following termination of their services under the Consulting Agreements.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Receipt of the foregoing benefits are contingent upon Ms. Broadfoot and Ms. Denyes satisfying certain customary conditions as required by their respective Separation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foregoing description of the Separation Agreements and the Consulting Agreements are only a summary of the terms thereof, do not purport to be complete and are each subject to, and qualified in their entirety by the complete text of the Separation Agreements and the Consulting Agreements, which we anticipate filing with our Quarterly Report on Form 10-Q for the three months ending September 30, 2026. </w:t>
      </w:r>
    </w:p>
    <w:p>
      <w:pPr>
        <w:pStyle w:val="TextBody"/>
        <w:bidi w:val="0"/>
        <w:spacing w:before="240" w:after="120"/>
        <w:jc w:val="both"/>
        <w:rPr>
          <w:rFonts w:ascii="Times New Roman" w:hAnsi="Times New Roman"/>
          <w:sz w:val="20"/>
        </w:rPr>
      </w:pPr>
      <w:r>
        <w:rPr>
          <w:rFonts w:ascii="Times New Roman" w:hAnsi="Times New Roman"/>
          <w:i/>
          <w:color w:val="000000"/>
          <w:sz w:val="20"/>
        </w:rPr>
        <w:t>Appointment of new Chief Financial Officer</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7, 2026, our board of directors appointed Brandon Yaras, our Vice President, Finance, to succeed Ms. Broadfoot as our Chief Financial Officer and designated him as our “principal financial officer” and “principal accounting officer,” each within the meaning of Rule 16a-1(f) under the Exchange Act, all effective as of October 1, 2026.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Mr. Yaras, age 40, has served as our Vice President, Finance since May 2022. Mr. Yaras has nearly 20 years of corporate finance and accounting experience, having overseen internal and external SEC reporting, forecasting and valuation, Sarbanes-Oxley compliance, payroll and equity administration and accounts payable. Prior to joining aTyr, from 2014 to 2022, he served as Director of Finance and Accounting for Arrowhead Pharmaceuticals, Inc., where he oversaw similar finance and accounting operations as well as procurement. Prior to that, he was Manager of Financial Planning and Analysis for Tutor Perini Corporation from 2009 to 2014. He began his career in the assurance practice at Deloitte &amp; Touche LLP (Deloitte) and was an Audit Senior prior to leaving Deloitte. Mr. Yaras holds a B.A. in business economics with a minor in accounting from the University of California, Los Angeles and is a certified public accountant.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There are no understandings or arrangements between Mr. Yaras and any other person pursuant to which he was appointed as our Chief Financial Officer, and there are no actual or proposed transactions between us and Mr. Yaras or any related person that would require disclosure under Item 404(a) of Regulation S-K. Mr. Yaras has no family relationship with any of our directors or executive officers.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connection with Mr. Yaras's appointment, we entered into an at-will employment offer letter with Mr. Yaras, dated August 7, 2026 and effective as of October 1, 2026 (the Employment Offer Letter), pursuant to which Mr. Yaras would become employed as the Chief Financial Officer of our company. Pursuant to the Employment Offer Letter, Mr. Yaras's annual base salary will be $350,000. Mr. Yaras is also eligible for a discretionary bonus target of up to 40% of his base salary based upon certain performance achievement goals. Pursuant to the Employment Offer Letter, Mr. Yaras will continue to be eligible to participate in our annual equity incentive award grants and will be granted an option to purchase 410,000 shares of our common stock (the Option) under our 2015 Stock Option and Incentive Plan, as amended, and subject to the terms and conditions set forth in the applicable notice of the award, with an exercise price equal to the closing price per share of our common stock as reported on the Nasdaq Capital Market on October 1, 2026. The Option is a non-qualified stock option and the shares subject to the Option will vest over a period of four years in equal monthly installments, subject to Mr. Yaras's continued employment on the applicable vesting date. We will also enter into our standard form of indemnification agreement with Mr. Yaras.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Mr. Yaras is eligible to participate in the Policy as in effect from time to time. The purpose of the Policy is to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provide certain of our senior management employees with compensation and benefits in the event of a termination of employment without Cause or for Good Reason (as such terms are defined in the Policy). The post-termination compensation and benefits under the Policy include (i) acceleration of time-based vesting provisions of outstanding equity awards that would have vested within 12 months of the termination, (ii) severance in a lump sum in the amount of 12 months of base salary, and (iii) monthly payment of the employer portion of group health care benefits under COBRA for up to 12 months after termination. In addition, if the termination occurs within two months prior to or one year after the closing of a Sale Event (as defined in the Policy), then, in lieu of the benefits described above, the post-termination compensation and benefits under the Policy include (i) full acceleration of time-based vesting provisions of all outstanding equity awards, (ii) severance in a lump sum in the amount of 12 months of base salary, (iii) payment of the bonus target for the calendar year in which the termination occurred, and (iv) monthly payment of the employer portion of group health care benefits under COBRA for up to 12 months after termination. In each case, receipt of any compensation or benefits under the Policy is subject to Mr. Yaras’s execution of a severance agreement and release of claims.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foregoing description of the Employment Offer Letter is only a summary of the terms thereof, does not purport to be complete and is subject to, and qualified in its entirety by, the full text of the Employment Offer Letter, which is attached hereto as Exhibit 10.2 and incorporated into this Item 5 under the heading “Departure of Directors or Certain Officers; Election of Directors; Appointment of Certain Officers; Compensatory Arrangements of Certain Officers—Appointment of new Chief Financial Officer”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description of the Policy is only a summary of the terms thereof, does not purport to be complete and is subject to, and qualified in its entirety by the full text of the Policy, which we filed as Exhibit 10.16 to our Annual Report on Form 10-K for the year ended December 31, 2015, filed with the SEC on March 30, 2016, and which was most recently described in our definitive proxy statement on Schedule 14A, filed with the SEC on March 26, 2026, and is incorporated into this Item 5 under the heading “Departure of Directors or Certain Officers; Election of Directors; Appointment of Certain Officers; Compensatory Arrangements of Certain Officers” by reference.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6. Exhibits</w:t>
      </w:r>
    </w:p>
    <w:p>
      <w:pPr>
        <w:pStyle w:val="TextBody"/>
        <w:bidi w:val="0"/>
        <w:jc w:val="center"/>
        <w:rPr>
          <w:rFonts w:ascii="Times New Roman" w:hAnsi="Times New Roman"/>
          <w:b/>
          <w:color w:val="000000"/>
          <w:sz w:val="20"/>
        </w:rPr>
      </w:pPr>
      <w:bookmarkStart w:id="23" w:name="item_6_exhibits"/>
      <w:bookmarkEnd w:id="23"/>
      <w:r>
        <w:rPr>
          <w:rFonts w:ascii="Times New Roman" w:hAnsi="Times New Roman"/>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46"/>
        <w:gridCol w:w="5928"/>
        <w:gridCol w:w="529"/>
        <w:gridCol w:w="911"/>
        <w:gridCol w:w="665"/>
        <w:gridCol w:w="1226"/>
      </w:tblGrid>
      <w:tr>
        <w:trPr/>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5928"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2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right"/>
              <w:rPr/>
            </w:pPr>
            <w:r>
              <w:rPr/>
              <w:t> </w:t>
            </w:r>
          </w:p>
        </w:tc>
      </w:tr>
      <w:tr>
        <w:trPr/>
        <w:tc>
          <w:tcPr>
            <w:tcW w:w="946" w:type="dxa"/>
            <w:tcBorders>
              <w:bottom w:val="single" w:sz="4" w:space="0" w:color="000000"/>
            </w:tcBorders>
            <w:tcMar>
              <w:top w:w="0" w:type="dxa"/>
              <w:left w:w="0" w:type="dxa"/>
              <w:right w:w="0" w:type="dxa"/>
            </w:tcMar>
            <w:vAlign w:val="center"/>
          </w:tcPr>
          <w:p>
            <w:pPr>
              <w:pStyle w:val="TableContents"/>
              <w:bidi w:val="0"/>
              <w:ind w:left="0" w:right="0" w:firstLine="24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c>
          <w:tcPr>
            <w:tcW w:w="59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3">
              <w:r>
                <w:rPr>
                  <w:rStyle w:val="InternetLink"/>
                  <w:rFonts w:ascii="Times New Roman" w:hAnsi="Times New Roman"/>
                  <w:color w:val="0000FF"/>
                  <w:sz w:val="20"/>
                  <w:u w:val="single"/>
                </w:rPr>
                <w:t>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November 14, 2022</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3.2</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4">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June 28, 2019</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5">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12, 2020</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3.4</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6">
              <w:r>
                <w:rPr>
                  <w:rStyle w:val="InternetLink"/>
                  <w:rFonts w:ascii="Times New Roman" w:hAnsi="Times New Roman"/>
                  <w:color w:val="0000FF"/>
                  <w:sz w:val="20"/>
                  <w:u w:val="single"/>
                </w:rPr>
                <w:t>Certificate of Amendment to Restated Certificate of Incorporation of the Registrant</w:t>
              </w:r>
            </w:hyperlink>
            <w:r>
              <w:rPr>
                <w:rFonts w:ascii="Times New Roman" w:hAnsi="Times New Roman"/>
                <w:color w:val="0000FF"/>
                <w:sz w:val="20"/>
              </w:rPr>
              <w:t xml:space="preserve"> </w:t>
            </w:r>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4, 2021</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3.5</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7">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April 29, 2022</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3.6</w:t>
            </w:r>
          </w:p>
        </w:tc>
        <w:tc>
          <w:tcPr>
            <w:tcW w:w="5928" w:type="dxa"/>
            <w:tcBorders/>
            <w:tcMar>
              <w:top w:w="0" w:type="dxa"/>
              <w:left w:w="0" w:type="dxa"/>
              <w:bottom w:w="0" w:type="dxa"/>
              <w:right w:w="0" w:type="dxa"/>
            </w:tcMar>
            <w:vAlign w:val="center"/>
          </w:tcPr>
          <w:p>
            <w:pPr>
              <w:pStyle w:val="TableContents"/>
              <w:bidi w:val="0"/>
              <w:jc w:val="left"/>
              <w:rPr/>
            </w:pPr>
            <w:hyperlink r:id="rId8">
              <w:r>
                <w:rPr>
                  <w:rStyle w:val="InternetLink"/>
                  <w:rFonts w:ascii="Times New Roman" w:hAnsi="Times New Roman"/>
                  <w:color w:val="0000FF"/>
                  <w:sz w:val="20"/>
                  <w:u w:val="single"/>
                </w:rPr>
                <w:t>Certificate of Amendment to Restated Certificate of Incorporation of the Registrant</w:t>
              </w:r>
            </w:hyperlink>
          </w:p>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19, 2023</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3.7</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9">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3.7</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15, 2026</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3.8</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10">
              <w:r>
                <w:rPr>
                  <w:rStyle w:val="InternetLink"/>
                  <w:rFonts w:ascii="Times New Roman" w:hAnsi="Times New Roman"/>
                  <w:color w:val="0000FF"/>
                  <w:sz w:val="20"/>
                  <w:u w:val="single"/>
                </w:rPr>
                <w:t>Amended and Restated Bylaws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333-203272</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3.6</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November 14, 2022</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4.1</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11">
              <w:r>
                <w:rPr>
                  <w:rStyle w:val="InternetLink"/>
                  <w:rFonts w:ascii="Times New Roman" w:hAnsi="Times New Roman"/>
                  <w:color w:val="0000FF"/>
                  <w:sz w:val="20"/>
                  <w:u w:val="single"/>
                </w:rPr>
                <w:t>Specimen</w:t>
              </w:r>
            </w:hyperlink>
            <w:hyperlink r:id="rId12">
              <w:r>
                <w:rPr>
                  <w:rStyle w:val="InternetLink"/>
                  <w:rFonts w:ascii="Times New Roman" w:hAnsi="Times New Roman"/>
                  <w:color w:val="000000"/>
                  <w:sz w:val="20"/>
                  <w:u w:val="single"/>
                </w:rPr>
                <w:t xml:space="preserve"> </w:t>
              </w:r>
            </w:hyperlink>
            <w:hyperlink r:id="rId13">
              <w:r>
                <w:rPr>
                  <w:rStyle w:val="InternetLink"/>
                  <w:rFonts w:ascii="Times New Roman" w:hAnsi="Times New Roman"/>
                  <w:color w:val="0000FF"/>
                  <w:sz w:val="20"/>
                  <w:u w:val="single"/>
                </w:rPr>
                <w:t>Common</w:t>
              </w:r>
            </w:hyperlink>
            <w:hyperlink r:id="rId14">
              <w:r>
                <w:rPr>
                  <w:rStyle w:val="InternetLink"/>
                  <w:rFonts w:ascii="Times New Roman" w:hAnsi="Times New Roman"/>
                  <w:color w:val="000000"/>
                  <w:sz w:val="20"/>
                  <w:u w:val="single"/>
                </w:rPr>
                <w:t xml:space="preserve"> </w:t>
              </w:r>
            </w:hyperlink>
            <w:hyperlink r:id="rId15">
              <w:r>
                <w:rPr>
                  <w:rStyle w:val="InternetLink"/>
                  <w:rFonts w:ascii="Times New Roman" w:hAnsi="Times New Roman"/>
                  <w:color w:val="0000FF"/>
                  <w:sz w:val="20"/>
                  <w:u w:val="single"/>
                </w:rPr>
                <w:t>Stock</w:t>
              </w:r>
            </w:hyperlink>
            <w:hyperlink r:id="rId16">
              <w:r>
                <w:rPr>
                  <w:rStyle w:val="InternetLink"/>
                  <w:rFonts w:ascii="Times New Roman" w:hAnsi="Times New Roman"/>
                  <w:color w:val="000000"/>
                  <w:sz w:val="20"/>
                  <w:u w:val="single"/>
                </w:rPr>
                <w:t xml:space="preserve"> </w:t>
              </w:r>
            </w:hyperlink>
            <w:hyperlink r:id="rId17">
              <w:r>
                <w:rPr>
                  <w:rStyle w:val="InternetLink"/>
                  <w:rFonts w:ascii="Times New Roman" w:hAnsi="Times New Roman"/>
                  <w:color w:val="0000FF"/>
                  <w:sz w:val="20"/>
                  <w:u w:val="single"/>
                </w:rPr>
                <w:t>Certificate</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S-1/A</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333-203272</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4.1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April 27, 2015</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10.1</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18">
              <w:r>
                <w:rPr>
                  <w:rStyle w:val="InternetLink"/>
                  <w:rFonts w:ascii="Times New Roman" w:hAnsi="Times New Roman"/>
                  <w:color w:val="0000FF"/>
                  <w:sz w:val="20"/>
                  <w:u w:val="single"/>
                </w:rPr>
                <w:t>aTyr Pharma, Inc. 2015 Stock Option and Incentive Plan, as amended</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15, 2026</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10.2</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w:anchor="atyr-ex10_2.htm">
              <w:r>
                <w:rPr>
                  <w:rStyle w:val="InternetLink"/>
                  <w:rFonts w:ascii="Times New Roman" w:hAnsi="Times New Roman"/>
                  <w:color w:val="0000FF"/>
                  <w:sz w:val="20"/>
                  <w:u w:val="single"/>
                </w:rPr>
                <w:t>Employment Offer Letter by and between the Registrant and Brandon Yaras, dated August 7, 2026</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10.3</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r:id="rId19">
              <w:r>
                <w:rPr>
                  <w:rStyle w:val="InternetLink"/>
                  <w:rFonts w:ascii="Times New Roman" w:hAnsi="Times New Roman"/>
                  <w:color w:val="0000FF"/>
                  <w:sz w:val="20"/>
                  <w:u w:val="single"/>
                </w:rPr>
                <w:t>Termination Agreement dated July 30, 2026, entered between aTyr Pharma, Inc. and Kyorin Pharmaceutical Co., Ltd.</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11"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99.1</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July 31, 2026</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31.1</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w:anchor="atyr-ex31_1.htm">
              <w:r>
                <w:rPr>
                  <w:rStyle w:val="InternetLink"/>
                  <w:rFonts w:ascii="Times New Roman" w:hAnsi="Times New Roman"/>
                  <w:color w:val="0000FF"/>
                  <w:sz w:val="20"/>
                  <w:u w:val="single"/>
                </w:rPr>
                <w:t>Certification of Principal Executive Officer required by Rule 13a-14(a) or Rule 15d-14(a) of the Securities Exchange Act of 1934, as adopted pursuant to Section 302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11"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5"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31.2</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w:anchor="atyr-ex31_2.htm">
              <w:r>
                <w:rPr>
                  <w:rStyle w:val="InternetLink"/>
                  <w:rFonts w:ascii="Times New Roman" w:hAnsi="Times New Roman"/>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11"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5"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32.1#</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w:anchor="aty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11"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5"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Furnished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32.2#</w:t>
            </w:r>
          </w:p>
        </w:tc>
        <w:tc>
          <w:tcPr>
            <w:tcW w:w="5928" w:type="dxa"/>
            <w:tcBorders/>
            <w:tcMar>
              <w:top w:w="0" w:type="dxa"/>
              <w:left w:w="0" w:type="dxa"/>
              <w:bottom w:w="0" w:type="dxa"/>
              <w:right w:w="0" w:type="dxa"/>
            </w:tcMar>
            <w:vAlign w:val="center"/>
          </w:tcPr>
          <w:p>
            <w:pPr>
              <w:pStyle w:val="TableContents"/>
              <w:bidi w:val="0"/>
              <w:spacing w:before="0" w:after="200"/>
              <w:jc w:val="left"/>
              <w:rPr/>
            </w:pPr>
            <w:hyperlink w:anchor="aty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11"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5"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2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6"/>
        <w:gridCol w:w="6021"/>
        <w:gridCol w:w="511"/>
        <w:gridCol w:w="678"/>
        <w:gridCol w:w="771"/>
        <w:gridCol w:w="1278"/>
      </w:tblGrid>
      <w:tr>
        <w:trPr/>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602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771" w:type="dxa"/>
            <w:tcBorders/>
            <w:shd w:fill="FFFFFF" w:val="clear"/>
            <w:vAlign w:val="center"/>
          </w:tcPr>
          <w:p>
            <w:pPr>
              <w:pStyle w:val="TableContents"/>
              <w:bidi w:val="0"/>
              <w:spacing w:before="0" w:after="283"/>
              <w:jc w:val="left"/>
              <w:rPr>
                <w:sz w:val="4"/>
                <w:szCs w:val="4"/>
              </w:rPr>
            </w:pPr>
            <w:r>
              <w:rPr>
                <w:sz w:val="4"/>
                <w:szCs w:val="4"/>
              </w:rPr>
            </w:r>
          </w:p>
        </w:tc>
        <w:tc>
          <w:tcPr>
            <w:tcW w:w="1278" w:type="dxa"/>
            <w:tcBorders/>
            <w:shd w:fill="FFFFFF" w:val="clear"/>
            <w:vAlign w:val="center"/>
          </w:tcPr>
          <w:p>
            <w:pPr>
              <w:pStyle w:val="TableContents"/>
              <w:bidi w:val="0"/>
              <w:spacing w:before="0" w:after="283"/>
              <w:jc w:val="left"/>
              <w:rPr>
                <w:sz w:val="4"/>
                <w:szCs w:val="4"/>
              </w:rPr>
            </w:pPr>
            <w:r>
              <w:rPr>
                <w:sz w:val="4"/>
                <w:szCs w:val="4"/>
              </w:rPr>
            </w:r>
          </w:p>
        </w:tc>
      </w:tr>
      <w:tr>
        <w:trPr/>
        <w:tc>
          <w:tcPr>
            <w:tcW w:w="74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278"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right"/>
              <w:rPr/>
            </w:pPr>
            <w:r>
              <w:rPr/>
              <w:t> </w:t>
            </w:r>
          </w:p>
        </w:tc>
      </w:tr>
      <w:tr>
        <w:trPr/>
        <w:tc>
          <w:tcPr>
            <w:tcW w:w="946" w:type="dxa"/>
            <w:tcBorders>
              <w:bottom w:val="single" w:sz="4" w:space="0" w:color="000000"/>
            </w:tcBorders>
            <w:tcMar>
              <w:top w:w="0" w:type="dxa"/>
              <w:left w:w="0" w:type="dxa"/>
              <w:right w:w="0" w:type="dxa"/>
            </w:tcMar>
            <w:vAlign w:val="center"/>
          </w:tcPr>
          <w:p>
            <w:pPr>
              <w:pStyle w:val="TableContents"/>
              <w:bidi w:val="0"/>
              <w:ind w:left="0" w:right="0" w:firstLine="24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c>
          <w:tcPr>
            <w:tcW w:w="6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2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101.INS</w:t>
            </w:r>
          </w:p>
        </w:tc>
        <w:tc>
          <w:tcPr>
            <w:tcW w:w="6021"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678"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771"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1278"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101.SCH</w:t>
            </w:r>
          </w:p>
        </w:tc>
        <w:tc>
          <w:tcPr>
            <w:tcW w:w="6021"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511"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678"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771"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1278" w:type="dxa"/>
            <w:tcBorders/>
            <w:tcMar>
              <w:top w:w="0" w:type="dxa"/>
              <w:left w:w="0" w:type="dxa"/>
              <w:bottom w:w="0" w:type="dxa"/>
              <w:right w:w="0" w:type="dxa"/>
            </w:tcMar>
            <w:vAlign w:val="center"/>
          </w:tcPr>
          <w:p>
            <w:pPr>
              <w:pStyle w:val="TableContents"/>
              <w:bidi w:val="0"/>
              <w:spacing w:before="0" w:after="200"/>
              <w:ind w:left="0" w:right="0" w:firstLine="24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ind w:left="0" w:right="0" w:firstLine="240"/>
              <w:jc w:val="center"/>
              <w:rPr>
                <w:rFonts w:ascii="Times New Roman" w:hAnsi="Times New Roman"/>
                <w:color w:val="000000"/>
                <w:sz w:val="20"/>
              </w:rPr>
            </w:pPr>
            <w:r>
              <w:rPr>
                <w:rFonts w:ascii="Times New Roman" w:hAnsi="Times New Roman"/>
                <w:color w:val="000000"/>
                <w:sz w:val="20"/>
              </w:rPr>
              <w:t>104</w:t>
            </w:r>
          </w:p>
        </w:tc>
        <w:tc>
          <w:tcPr>
            <w:tcW w:w="6021"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678"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771"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1278"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1846"/>
        <w:gridCol w:w="406"/>
        <w:gridCol w:w="146"/>
        <w:gridCol w:w="400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S. Shukla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Chief Executive Officer and Director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5" w:name="atyr-ex10_2.htm"/>
      <w:bookmarkStart w:id="26" w:name="ksatyrex10_2"/>
      <w:bookmarkEnd w:id="25"/>
      <w:bookmarkEnd w:id="26"/>
      <w:r>
        <w:rPr/>
        <w:t> </w:t>
      </w:r>
      <w:r>
        <w:br w:type="page"/>
      </w:r>
    </w:p>
    <w:p>
      <w:pPr>
        <w:pStyle w:val="TextBody"/>
        <w:bidi w:val="0"/>
        <w:jc w:val="right"/>
        <w:rPr>
          <w:rFonts w:ascii="Arial" w:hAnsi="Arial"/>
          <w:color w:val="000000"/>
          <w:sz w:val="24"/>
        </w:rPr>
      </w:pPr>
      <w:r>
        <w:rPr>
          <w:rFonts w:ascii="Arial" w:hAnsi="Arial"/>
          <w:color w:val="000000"/>
          <w:sz w:val="24"/>
        </w:rPr>
        <w:t>Exhibit 10.2</w:t>
      </w:r>
    </w:p>
    <w:p>
      <w:pPr>
        <w:pStyle w:val="TextBody"/>
        <w:bidi w:val="0"/>
        <w:jc w:val="left"/>
        <w:rPr/>
      </w:pPr>
      <w:r>
        <w:rPr/>
        <w:t> </w:t>
      </w:r>
    </w:p>
    <w:p>
      <w:pPr>
        <w:pStyle w:val="TextBody"/>
        <w:bidi w:val="0"/>
        <w:ind w:left="0" w:right="0" w:firstLine="720"/>
        <w:jc w:val="right"/>
        <w:rPr/>
      </w:pPr>
      <w:r>
        <w:rPr/>
        <w:t>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August 7, 2026</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Mr. Brandon Yaras, CPA</w:t>
      </w:r>
    </w:p>
    <w:p>
      <w:pPr>
        <w:pStyle w:val="TextBody"/>
        <w:bidi w:val="0"/>
        <w:jc w:val="left"/>
        <w:rPr>
          <w:rFonts w:ascii="sans-serif" w:hAnsi="sans-serif"/>
          <w:color w:val="000000"/>
          <w:sz w:val="24"/>
        </w:rPr>
      </w:pPr>
      <w:r>
        <w:rPr>
          <w:rFonts w:ascii="sans-serif" w:hAnsi="sans-serif"/>
          <w:color w:val="000000"/>
          <w:sz w:val="24"/>
        </w:rPr>
        <w:t>[***]</w:t>
      </w:r>
    </w:p>
    <w:p>
      <w:pPr>
        <w:pStyle w:val="TextBody"/>
        <w:bidi w:val="0"/>
        <w:jc w:val="left"/>
        <w:rPr>
          <w:rFonts w:ascii="sans-serif" w:hAnsi="sans-serif"/>
          <w:color w:val="000000"/>
          <w:sz w:val="24"/>
        </w:rPr>
      </w:pPr>
      <w:r>
        <w:rPr>
          <w:rFonts w:ascii="sans-serif" w:hAnsi="sans-serif"/>
          <w:color w:val="000000"/>
          <w:sz w:val="24"/>
        </w:rPr>
        <w:t>[***]</w:t>
      </w:r>
    </w:p>
    <w:p>
      <w:pPr>
        <w:pStyle w:val="TextBody"/>
        <w:bidi w:val="0"/>
        <w:jc w:val="left"/>
        <w:rPr/>
      </w:pPr>
      <w:r>
        <w:rPr/>
        <w:t> </w:t>
      </w:r>
    </w:p>
    <w:p>
      <w:pPr>
        <w:pStyle w:val="TextBody"/>
        <w:bidi w:val="0"/>
        <w:jc w:val="left"/>
        <w:rPr>
          <w:rFonts w:ascii="sans-serif" w:hAnsi="sans-serif"/>
          <w:i/>
          <w:color w:val="000000"/>
          <w:sz w:val="24"/>
          <w:u w:val="single"/>
        </w:rPr>
      </w:pPr>
      <w:r>
        <w:rPr>
          <w:rFonts w:ascii="sans-serif" w:hAnsi="sans-serif"/>
          <w:i/>
          <w:color w:val="000000"/>
          <w:sz w:val="24"/>
          <w:u w:val="single"/>
        </w:rPr>
        <w:t>Re: Amended and Restated Offer of Employment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Dear Brandon,</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4"/>
        </w:rPr>
        <w:t>This letter (this “Amended and Restated Offer Letter”) amends and restates in its entirety your prior offer letter with aTyr Pharma, Inc. (“aTyr” or the “Company”) dated March 9, 2022. This Amended and Restated Offer Letter sets forth the principal terms for your continued employment with the Company, located in San Diego, California.</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67"/>
        <w:gridCol w:w="2306"/>
        <w:gridCol w:w="6532"/>
      </w:tblGrid>
      <w:tr>
        <w:trPr/>
        <w:tc>
          <w:tcPr>
            <w:tcW w:w="1367"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6532" w:type="dxa"/>
            <w:tcBorders/>
            <w:vAlign w:val="center"/>
          </w:tcPr>
          <w:p>
            <w:pPr>
              <w:pStyle w:val="TableContents"/>
              <w:bidi w:val="0"/>
              <w:spacing w:before="0" w:after="283"/>
              <w:jc w:val="left"/>
              <w:rPr>
                <w:sz w:val="4"/>
                <w:szCs w:val="4"/>
              </w:rPr>
            </w:pPr>
            <w:r>
              <w:rPr>
                <w:sz w:val="4"/>
                <w:szCs w:val="4"/>
              </w:rPr>
            </w:r>
          </w:p>
        </w:tc>
      </w:tr>
      <w:tr>
        <w:trPr/>
        <w:tc>
          <w:tcPr>
            <w:tcW w:w="13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New Position</w:t>
            </w:r>
            <w:r>
              <w:rPr>
                <w:rFonts w:ascii="sans-serif" w:hAnsi="sans-serif"/>
                <w:color w:val="000000"/>
                <w:sz w:val="24"/>
              </w:rPr>
              <w:t>:</w:t>
            </w:r>
          </w:p>
        </w:tc>
        <w:tc>
          <w:tcPr>
            <w:tcW w:w="2306"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c>
          <w:tcPr>
            <w:tcW w:w="6532" w:type="dxa"/>
            <w:tcBorders/>
            <w:tcMar>
              <w:top w:w="0" w:type="dxa"/>
              <w:left w:w="0" w:type="dxa"/>
              <w:bottom w:w="0" w:type="dxa"/>
              <w:right w:w="0" w:type="dxa"/>
            </w:tcMar>
            <w:vAlign w:val="center"/>
          </w:tcPr>
          <w:p>
            <w:pPr>
              <w:pStyle w:val="TableContents"/>
              <w:pBdr/>
              <w:bidi w:val="0"/>
              <w:ind w:left="0" w:right="0" w:hanging="2160"/>
              <w:jc w:val="left"/>
              <w:rPr>
                <w:rFonts w:ascii="sans-serif" w:hAnsi="sans-serif"/>
                <w:color w:val="000000"/>
                <w:sz w:val="24"/>
              </w:rPr>
            </w:pPr>
            <w:r>
              <w:rPr>
                <w:rFonts w:ascii="sans-serif" w:hAnsi="sans-serif"/>
                <w:color w:val="000000"/>
                <w:sz w:val="24"/>
              </w:rPr>
              <w:t>Promotion to Chief Financial Officer from Vice President, Finance</w:t>
            </w:r>
          </w:p>
          <w:p>
            <w:pPr>
              <w:pStyle w:val="TableContents"/>
              <w:bidi w:val="0"/>
              <w:spacing w:before="0" w:after="283"/>
              <w:ind w:left="0" w:right="0" w:firstLine="2160"/>
              <w:jc w:val="left"/>
              <w:rPr/>
            </w:pPr>
            <w:r>
              <w:rPr/>
              <w:t> </w:t>
            </w:r>
          </w:p>
        </w:tc>
      </w:tr>
      <w:tr>
        <w:trPr/>
        <w:tc>
          <w:tcPr>
            <w:tcW w:w="136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u w:val="single"/>
              </w:rPr>
            </w:pPr>
            <w:r>
              <w:rPr>
                <w:rFonts w:ascii="sans-serif" w:hAnsi="sans-serif"/>
                <w:color w:val="000000"/>
                <w:sz w:val="24"/>
                <w:u w:val="single"/>
              </w:rPr>
              <w:t>Location:</w:t>
            </w:r>
          </w:p>
        </w:tc>
        <w:tc>
          <w:tcPr>
            <w:tcW w:w="2306"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c>
          <w:tcPr>
            <w:tcW w:w="6532" w:type="dxa"/>
            <w:tcBorders/>
            <w:tcMar>
              <w:top w:w="0" w:type="dxa"/>
              <w:left w:w="0" w:type="dxa"/>
              <w:bottom w:w="0" w:type="dxa"/>
              <w:right w:w="0" w:type="dxa"/>
            </w:tcMar>
            <w:vAlign w:val="center"/>
          </w:tcPr>
          <w:p>
            <w:pPr>
              <w:pStyle w:val="TableContents"/>
              <w:pBdr/>
              <w:bidi w:val="0"/>
              <w:ind w:left="0" w:right="0" w:hanging="2160"/>
              <w:jc w:val="left"/>
              <w:rPr>
                <w:rFonts w:ascii="sans-serif" w:hAnsi="sans-serif"/>
                <w:color w:val="000000"/>
                <w:sz w:val="24"/>
              </w:rPr>
            </w:pPr>
            <w:r>
              <w:rPr>
                <w:rFonts w:ascii="sans-serif" w:hAnsi="sans-serif"/>
                <w:color w:val="000000"/>
                <w:sz w:val="24"/>
              </w:rPr>
              <w:t>San Diego, California</w:t>
            </w:r>
          </w:p>
          <w:p>
            <w:pPr>
              <w:pStyle w:val="TableContents"/>
              <w:bidi w:val="0"/>
              <w:spacing w:before="0" w:after="283"/>
              <w:ind w:left="0" w:right="0" w:firstLine="2160"/>
              <w:jc w:val="left"/>
              <w:rPr/>
            </w:pPr>
            <w:r>
              <w:rPr/>
              <w:t> </w:t>
            </w:r>
          </w:p>
        </w:tc>
      </w:tr>
      <w:tr>
        <w:trPr/>
        <w:tc>
          <w:tcPr>
            <w:tcW w:w="13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Status</w:t>
            </w:r>
            <w:r>
              <w:rPr>
                <w:rFonts w:ascii="sans-serif" w:hAnsi="sans-serif"/>
                <w:color w:val="000000"/>
                <w:sz w:val="24"/>
              </w:rPr>
              <w:t>:</w:t>
            </w:r>
          </w:p>
        </w:tc>
        <w:tc>
          <w:tcPr>
            <w:tcW w:w="2306" w:type="dxa"/>
            <w:tcBorders/>
            <w:tcMar>
              <w:top w:w="0" w:type="dxa"/>
              <w:left w:w="0" w:type="dxa"/>
              <w:bottom w:w="0" w:type="dxa"/>
              <w:right w:w="0" w:type="dxa"/>
            </w:tcMar>
            <w:vAlign w:val="center"/>
          </w:tcPr>
          <w:p>
            <w:pPr>
              <w:pStyle w:val="TableContents"/>
              <w:bidi w:val="0"/>
              <w:spacing w:before="0" w:after="283"/>
              <w:jc w:val="both"/>
              <w:rPr/>
            </w:pPr>
            <w:r>
              <w:rPr/>
              <w:t> </w:t>
            </w:r>
          </w:p>
        </w:tc>
        <w:tc>
          <w:tcPr>
            <w:tcW w:w="6532" w:type="dxa"/>
            <w:tcBorders/>
            <w:tcMar>
              <w:top w:w="0" w:type="dxa"/>
              <w:left w:w="0" w:type="dxa"/>
              <w:bottom w:w="0" w:type="dxa"/>
              <w:right w:w="0" w:type="dxa"/>
            </w:tcMar>
            <w:vAlign w:val="center"/>
          </w:tcPr>
          <w:p>
            <w:pPr>
              <w:pStyle w:val="TableContents"/>
              <w:bidi w:val="0"/>
              <w:jc w:val="both"/>
              <w:rPr>
                <w:rFonts w:ascii="sans-serif" w:hAnsi="sans-serif"/>
                <w:color w:val="000000"/>
                <w:sz w:val="24"/>
              </w:rPr>
            </w:pPr>
            <w:r>
              <w:rPr>
                <w:rFonts w:ascii="sans-serif" w:hAnsi="sans-serif"/>
                <w:color w:val="000000"/>
                <w:sz w:val="24"/>
              </w:rPr>
              <w:t>Full-Time, Exempt. This means you are paid for the job and not by the hour. Accordingly, you will not receive overtime pay if you work more than 8 hours in a workday or 40 hours in a work week.</w:t>
            </w:r>
          </w:p>
          <w:p>
            <w:pPr>
              <w:pStyle w:val="TableContents"/>
              <w:bidi w:val="0"/>
              <w:spacing w:before="0" w:after="283"/>
              <w:jc w:val="both"/>
              <w:rPr/>
            </w:pPr>
            <w:r>
              <w:rPr/>
              <w:t> </w:t>
            </w:r>
          </w:p>
        </w:tc>
      </w:tr>
      <w:tr>
        <w:trPr/>
        <w:tc>
          <w:tcPr>
            <w:tcW w:w="13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Reporting to</w:t>
            </w:r>
            <w:r>
              <w:rPr>
                <w:rFonts w:ascii="sans-serif" w:hAnsi="sans-serif"/>
                <w:color w:val="000000"/>
                <w:sz w:val="24"/>
              </w:rPr>
              <w:t>:</w:t>
            </w:r>
          </w:p>
        </w:tc>
        <w:tc>
          <w:tcPr>
            <w:tcW w:w="23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jc w:val="left"/>
              <w:rPr>
                <w:rFonts w:ascii="sans-serif" w:hAnsi="sans-serif"/>
                <w:color w:val="000000"/>
                <w:sz w:val="24"/>
              </w:rPr>
            </w:pPr>
            <w:r>
              <w:rPr>
                <w:rFonts w:ascii="sans-serif" w:hAnsi="sans-serif"/>
                <w:color w:val="000000"/>
                <w:sz w:val="24"/>
              </w:rPr>
              <w:t>Sanjay S. Shukla, M.D., M.S., President and CEO</w:t>
            </w:r>
          </w:p>
          <w:p>
            <w:pPr>
              <w:pStyle w:val="TableContents"/>
              <w:bidi w:val="0"/>
              <w:spacing w:before="0" w:after="283"/>
              <w:jc w:val="left"/>
              <w:rPr/>
            </w:pPr>
            <w:r>
              <w:rPr/>
              <w:t> </w:t>
            </w:r>
          </w:p>
        </w:tc>
      </w:tr>
      <w:tr>
        <w:trPr/>
        <w:tc>
          <w:tcPr>
            <w:tcW w:w="13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Base Salary Rate</w:t>
            </w:r>
            <w:r>
              <w:rPr>
                <w:rFonts w:ascii="sans-serif" w:hAnsi="sans-serif"/>
                <w:color w:val="000000"/>
                <w:sz w:val="24"/>
              </w:rPr>
              <w:t>:</w:t>
            </w:r>
          </w:p>
        </w:tc>
        <w:tc>
          <w:tcPr>
            <w:tcW w:w="2306" w:type="dxa"/>
            <w:tcBorders/>
            <w:tcMar>
              <w:top w:w="0" w:type="dxa"/>
              <w:left w:w="0" w:type="dxa"/>
              <w:bottom w:w="0" w:type="dxa"/>
              <w:right w:w="0" w:type="dxa"/>
            </w:tcMar>
            <w:vAlign w:val="center"/>
          </w:tcPr>
          <w:p>
            <w:pPr>
              <w:pStyle w:val="TableContents"/>
              <w:bidi w:val="0"/>
              <w:spacing w:before="0" w:after="283"/>
              <w:jc w:val="both"/>
              <w:rPr/>
            </w:pPr>
            <w:r>
              <w:rPr/>
              <w:t> </w:t>
            </w:r>
          </w:p>
        </w:tc>
        <w:tc>
          <w:tcPr>
            <w:tcW w:w="6532" w:type="dxa"/>
            <w:tcBorders/>
            <w:tcMar>
              <w:top w:w="0" w:type="dxa"/>
              <w:left w:w="0" w:type="dxa"/>
              <w:bottom w:w="0" w:type="dxa"/>
              <w:right w:w="0" w:type="dxa"/>
            </w:tcMar>
            <w:vAlign w:val="center"/>
          </w:tcPr>
          <w:p>
            <w:pPr>
              <w:pStyle w:val="TableContents"/>
              <w:bidi w:val="0"/>
              <w:jc w:val="both"/>
              <w:rPr>
                <w:rFonts w:ascii="sans-serif" w:hAnsi="sans-serif"/>
                <w:color w:val="000000"/>
                <w:sz w:val="24"/>
              </w:rPr>
            </w:pPr>
            <w:r>
              <w:rPr>
                <w:rFonts w:ascii="sans-serif" w:hAnsi="sans-serif"/>
                <w:color w:val="000000"/>
                <w:sz w:val="24"/>
              </w:rPr>
              <w:t>$14,583.33 semi-monthly (which equals $350,000.00 per year) less applicable withholdings, paid in accordance with the Company’s normal payroll practices during your Full-Time employment. Future adjustments in compensation, if any, will be made by the Company in its sole and absolute discretion.</w:t>
            </w:r>
          </w:p>
          <w:p>
            <w:pPr>
              <w:pStyle w:val="TableContents"/>
              <w:bidi w:val="0"/>
              <w:spacing w:before="0" w:after="283"/>
              <w:jc w:val="both"/>
              <w:rPr/>
            </w:pPr>
            <w:r>
              <w:rPr/>
              <w:t> </w:t>
            </w:r>
          </w:p>
        </w:tc>
      </w:tr>
      <w:tr>
        <w:trPr/>
        <w:tc>
          <w:tcPr>
            <w:tcW w:w="136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u w:val="single"/>
              </w:rPr>
            </w:pPr>
            <w:r>
              <w:rPr>
                <w:rFonts w:ascii="sans-serif" w:hAnsi="sans-serif"/>
                <w:color w:val="000000"/>
                <w:sz w:val="24"/>
                <w:u w:val="single"/>
              </w:rPr>
              <w:t>Target Bonus:</w:t>
            </w:r>
          </w:p>
        </w:tc>
        <w:tc>
          <w:tcPr>
            <w:tcW w:w="23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tcMar>
              <w:top w:w="0" w:type="dxa"/>
              <w:left w:w="0" w:type="dxa"/>
              <w:bottom w:w="0" w:type="dxa"/>
              <w:right w:w="0" w:type="dxa"/>
            </w:tcMar>
            <w:vAlign w:val="center"/>
          </w:tcPr>
          <w:p>
            <w:pPr>
              <w:pStyle w:val="TableContents"/>
              <w:bidi w:val="0"/>
              <w:jc w:val="both"/>
              <w:rPr>
                <w:rFonts w:ascii="sans-serif" w:hAnsi="sans-serif"/>
                <w:color w:val="000000"/>
                <w:sz w:val="24"/>
              </w:rPr>
            </w:pPr>
            <w:r>
              <w:rPr>
                <w:rFonts w:ascii="sans-serif" w:hAnsi="sans-serif"/>
                <w:color w:val="000000"/>
                <w:sz w:val="24"/>
              </w:rPr>
              <w:t>Your annual target bonus will be 40% of your base salary based upon the achievement of your individual goals, the achievement of team goals and the achievement of corporate goals. Your annual target bonus is subject to review and approval by the aTyr Board of Directors or Compensation Committee of the Board of Directors. You must be employed by the Company at the time the bonus is paid out to receive the bonus.</w:t>
            </w:r>
          </w:p>
          <w:p>
            <w:pPr>
              <w:pStyle w:val="TableContents"/>
              <w:bidi w:val="0"/>
              <w:spacing w:before="0" w:after="283"/>
              <w:jc w:val="left"/>
              <w:rPr/>
            </w:pPr>
            <w:r>
              <w:rPr/>
              <w:t> </w:t>
            </w:r>
          </w:p>
        </w:tc>
      </w:tr>
      <w:tr>
        <w:trPr/>
        <w:tc>
          <w:tcPr>
            <w:tcW w:w="13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Equity</w:t>
            </w:r>
            <w:r>
              <w:rPr>
                <w:rFonts w:ascii="sans-serif" w:hAnsi="sans-serif"/>
                <w:color w:val="000000"/>
                <w:sz w:val="24"/>
              </w:rPr>
              <w:t>:</w:t>
            </w:r>
            <w:r>
              <w:rPr>
                <w:rFonts w:ascii="Times New Roman" w:hAnsi="Times New Roman"/>
                <w:color w:val="000000"/>
                <w:sz w:val="24"/>
              </w:rPr>
              <w:t xml:space="preserve"> </w:t>
            </w:r>
          </w:p>
        </w:tc>
        <w:tc>
          <w:tcPr>
            <w:tcW w:w="2306" w:type="dxa"/>
            <w:tcBorders/>
            <w:tcMar>
              <w:top w:w="0" w:type="dxa"/>
              <w:left w:w="0" w:type="dxa"/>
              <w:bottom w:w="0" w:type="dxa"/>
              <w:right w:w="0" w:type="dxa"/>
            </w:tcMar>
            <w:vAlign w:val="center"/>
          </w:tcPr>
          <w:p>
            <w:pPr>
              <w:pStyle w:val="TableContents"/>
              <w:bidi w:val="0"/>
              <w:spacing w:before="0" w:after="283"/>
              <w:jc w:val="both"/>
              <w:rPr/>
            </w:pPr>
            <w:r>
              <w:rPr/>
              <w:t> </w:t>
            </w:r>
          </w:p>
        </w:tc>
        <w:tc>
          <w:tcPr>
            <w:tcW w:w="653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sans-serif" w:hAnsi="sans-serif"/>
                <w:color w:val="000000"/>
                <w:sz w:val="24"/>
              </w:rPr>
              <w:t>As promptly as practicable after commencement of your new role with the Company, and subject to approval by the Board of Directors (or the Compensation Committee of the Board of Directors), you will be granted an additional option to purchase 410,000 shares of the Common Stock of the Company (the “Option”). Subject to your continued full-time employment with the Company, the shares subject to the Option shall vest over a four (4) year</w:t>
            </w:r>
            <w:r>
              <w:rPr>
                <w:rFonts w:ascii="Times New Roman" w:hAnsi="Times New Roman"/>
                <w:color w:val="000000"/>
                <w:sz w:val="24"/>
              </w:rPr>
              <w:t xml:space="preserve"> </w:t>
            </w:r>
          </w:p>
        </w:tc>
      </w:tr>
    </w:tbl>
    <w:p>
      <w:pPr>
        <w:pStyle w:val="TextBody"/>
        <w:bidi w:val="0"/>
        <w:jc w:val="right"/>
        <w:rPr>
          <w:rFonts w:ascii="sans-serif" w:hAnsi="sans-serif"/>
          <w:color w:val="808080"/>
          <w:sz w:val="24"/>
        </w:rPr>
      </w:pPr>
      <w:r>
        <w:rPr>
          <w:rFonts w:ascii="sans-serif" w:hAnsi="sans-serif"/>
          <w:color w:val="808080"/>
          <w:sz w:val="24"/>
        </w:rPr>
        <w:t>10240 Sorrento Valley Road, #300</w:t>
      </w:r>
    </w:p>
    <w:p>
      <w:pPr>
        <w:pStyle w:val="TextBody"/>
        <w:bidi w:val="0"/>
        <w:jc w:val="right"/>
        <w:rPr>
          <w:rFonts w:ascii="sans-serif" w:hAnsi="sans-serif"/>
          <w:color w:val="808080"/>
          <w:sz w:val="24"/>
        </w:rPr>
      </w:pPr>
      <w:r>
        <w:rPr>
          <w:rFonts w:ascii="sans-serif" w:hAnsi="sans-serif"/>
          <w:color w:val="808080"/>
          <w:sz w:val="24"/>
        </w:rPr>
        <w:t>San Diego, CA 92121</w:t>
      </w:r>
    </w:p>
    <w:p>
      <w:pPr>
        <w:pStyle w:val="TextBody"/>
        <w:bidi w:val="0"/>
        <w:jc w:val="right"/>
        <w:rPr>
          <w:rFonts w:ascii="sans-serif" w:hAnsi="sans-serif"/>
          <w:color w:val="808080"/>
          <w:sz w:val="24"/>
        </w:rPr>
      </w:pPr>
      <w:r>
        <w:rPr>
          <w:rFonts w:ascii="sans-serif" w:hAnsi="sans-serif"/>
          <w:color w:val="808080"/>
          <w:sz w:val="24"/>
        </w:rPr>
        <w:t>858-731-8389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Brandon Yaras</w:t>
      </w:r>
    </w:p>
    <w:p>
      <w:pPr>
        <w:pStyle w:val="TextBody"/>
        <w:bidi w:val="0"/>
        <w:jc w:val="left"/>
        <w:rPr>
          <w:rFonts w:ascii="Times New Roman" w:hAnsi="Times New Roman"/>
          <w:sz w:val="20"/>
        </w:rPr>
      </w:pPr>
      <w:r>
        <w:rPr>
          <w:rFonts w:ascii="sans-serif" w:hAnsi="sans-serif"/>
          <w:color w:val="000000"/>
          <w:sz w:val="24"/>
        </w:rPr>
        <w:t>Page 2</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948"/>
        <w:gridCol w:w="146"/>
        <w:gridCol w:w="7111"/>
      </w:tblGrid>
      <w:tr>
        <w:trPr/>
        <w:tc>
          <w:tcPr>
            <w:tcW w:w="2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r>
      <w:tr>
        <w:trPr/>
        <w:tc>
          <w:tcPr>
            <w:tcW w:w="29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sans-serif" w:hAnsi="sans-serif"/>
                <w:color w:val="000000"/>
                <w:sz w:val="24"/>
              </w:rPr>
              <w:t>period from your promotion start date, in equal monthly installments. The exercise price per share of the Option shall be determined based on the closing price of the Common Stock as reported on NASDAQ on the effective date of the grant. The specific terms and conditions of your Option will be subject to the terms set forth in a Stock Option Agreement between you and the Company.</w:t>
            </w:r>
            <w:r>
              <w:rPr>
                <w:rFonts w:ascii="Times New Roman" w:hAnsi="Times New Roman"/>
                <w:color w:val="000000"/>
                <w:sz w:val="24"/>
              </w:rPr>
              <w:t xml:space="preserve"> </w:t>
            </w:r>
          </w:p>
          <w:p>
            <w:pPr>
              <w:pStyle w:val="TableContents"/>
              <w:bidi w:val="0"/>
              <w:spacing w:before="0" w:after="283"/>
              <w:jc w:val="both"/>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u w:val="single"/>
              </w:rPr>
            </w:pPr>
            <w:r>
              <w:rPr>
                <w:rFonts w:ascii="sans-serif" w:hAnsi="sans-serif"/>
                <w:color w:val="000000"/>
                <w:sz w:val="24"/>
                <w:u w:val="single"/>
              </w:rPr>
              <w:t>Severance Policy: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jc w:val="both"/>
              <w:rPr>
                <w:rFonts w:ascii="sans-serif" w:hAnsi="sans-serif"/>
                <w:color w:val="000000"/>
                <w:sz w:val="24"/>
              </w:rPr>
            </w:pPr>
            <w:r>
              <w:rPr>
                <w:rFonts w:ascii="sans-serif" w:hAnsi="sans-serif"/>
                <w:color w:val="000000"/>
                <w:sz w:val="24"/>
              </w:rPr>
              <w:t>You are eligible for aTyr’s Executive Severance and Change in Control Policy, including severance provisions for “Not for Cause” separations as well as “Change in Control” separations. The specifics of the plan will be provided to you.</w:t>
            </w:r>
          </w:p>
          <w:p>
            <w:pPr>
              <w:pStyle w:val="TableContents"/>
              <w:bidi w:val="0"/>
              <w:spacing w:before="0" w:after="283"/>
              <w:jc w:val="both"/>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Benefits</w:t>
            </w:r>
            <w:r>
              <w:rPr>
                <w:rFonts w:ascii="sans-serif" w:hAnsi="sans-serif"/>
                <w:color w:val="000000"/>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jc w:val="both"/>
              <w:rPr>
                <w:rFonts w:ascii="sans-serif" w:hAnsi="sans-serif"/>
                <w:color w:val="000000"/>
                <w:sz w:val="24"/>
              </w:rPr>
            </w:pPr>
            <w:r>
              <w:rPr>
                <w:rFonts w:ascii="sans-serif" w:hAnsi="sans-serif"/>
                <w:color w:val="000000"/>
                <w:sz w:val="24"/>
              </w:rPr>
              <w:t>You are entitled to receive standard medical, life and dental insurance benefits for yourself and your dependents in accordance with Company policy. The Company reserves the right to change or eliminate these benefits on a prospective basis at any time.</w:t>
            </w:r>
          </w:p>
          <w:p>
            <w:pPr>
              <w:pStyle w:val="TableContents"/>
              <w:bidi w:val="0"/>
              <w:spacing w:before="0" w:after="283"/>
              <w:jc w:val="both"/>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401(k) Plan</w:t>
            </w:r>
            <w:r>
              <w:rPr>
                <w:rFonts w:ascii="sans-serif" w:hAnsi="sans-serif"/>
                <w:color w:val="000000"/>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sans-serif" w:hAnsi="sans-serif"/>
                <w:color w:val="000000"/>
                <w:sz w:val="24"/>
              </w:rPr>
              <w:t>You are eligible to participate in the aTyr Pharma, Inc. 401(k) Savings Plan.</w:t>
            </w:r>
            <w:r>
              <w:rPr>
                <w:rFonts w:ascii="Times New Roman" w:hAnsi="Times New Roman"/>
                <w:color w:val="000000"/>
                <w:sz w:val="24"/>
              </w:rPr>
              <w:t xml:space="preserve"> </w:t>
            </w:r>
          </w:p>
          <w:p>
            <w:pPr>
              <w:pStyle w:val="TableContents"/>
              <w:bidi w:val="0"/>
              <w:spacing w:before="0" w:after="283"/>
              <w:ind w:left="0" w:right="0" w:firstLine="2160"/>
              <w:jc w:val="both"/>
              <w:rPr/>
            </w:pPr>
            <w:r>
              <w:rPr/>
              <w:t> </w:t>
            </w:r>
          </w:p>
        </w:tc>
      </w:tr>
      <w:tr>
        <w:trPr/>
        <w:tc>
          <w:tcPr>
            <w:tcW w:w="2948" w:type="dxa"/>
            <w:tcBorders/>
            <w:tcMar>
              <w:top w:w="0" w:type="dxa"/>
              <w:left w:w="0" w:type="dxa"/>
              <w:bottom w:w="0" w:type="dxa"/>
              <w:right w:w="0" w:type="dxa"/>
            </w:tcMar>
            <w:vAlign w:val="center"/>
          </w:tcPr>
          <w:p>
            <w:pPr>
              <w:pStyle w:val="TableContents"/>
              <w:pBdr/>
              <w:bidi w:val="0"/>
              <w:ind w:left="0" w:right="0" w:hanging="2160"/>
              <w:jc w:val="both"/>
              <w:rPr>
                <w:rFonts w:ascii="Times New Roman" w:hAnsi="Times New Roman"/>
                <w:sz w:val="24"/>
              </w:rPr>
            </w:pPr>
            <w:r>
              <w:rPr>
                <w:rFonts w:ascii="sans-serif" w:hAnsi="sans-serif"/>
                <w:color w:val="000000"/>
                <w:sz w:val="24"/>
                <w:u w:val="single"/>
              </w:rPr>
              <w:t>Vacation &amp;</w:t>
            </w:r>
            <w:r>
              <w:rPr>
                <w:rFonts w:ascii="Times New Roman" w:hAnsi="Times New Roman"/>
                <w:color w:val="000000"/>
                <w:sz w:val="24"/>
              </w:rPr>
              <w:t xml:space="preserve"> </w:t>
            </w:r>
          </w:p>
          <w:p>
            <w:pPr>
              <w:pStyle w:val="TableContents"/>
              <w:bidi w:val="0"/>
              <w:spacing w:before="0" w:after="283"/>
              <w:ind w:left="0" w:right="0" w:firstLine="2160"/>
              <w:jc w:val="left"/>
              <w:rPr>
                <w:rFonts w:ascii="Times New Roman" w:hAnsi="Times New Roman"/>
                <w:sz w:val="24"/>
              </w:rPr>
            </w:pPr>
            <w:r>
              <w:rPr>
                <w:rFonts w:ascii="sans-serif" w:hAnsi="sans-serif"/>
                <w:color w:val="000000"/>
                <w:sz w:val="24"/>
                <w:u w:val="single"/>
              </w:rPr>
              <w:t>Sick Time</w:t>
            </w:r>
            <w:r>
              <w:rPr>
                <w:rFonts w:ascii="sans-serif" w:hAnsi="sans-serif"/>
                <w:color w:val="000000"/>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jc w:val="both"/>
              <w:rPr>
                <w:rFonts w:ascii="sans-serif" w:hAnsi="sans-serif"/>
                <w:color w:val="000000"/>
                <w:sz w:val="24"/>
              </w:rPr>
            </w:pPr>
            <w:r>
              <w:rPr>
                <w:rFonts w:ascii="sans-serif" w:hAnsi="sans-serif"/>
                <w:color w:val="000000"/>
                <w:sz w:val="24"/>
              </w:rPr>
              <w:t>You are currently entitled to accrue 20 days of vacation per year as a Full-Time employee. You will have 6 days of sick time available each year.</w:t>
            </w:r>
          </w:p>
          <w:p>
            <w:pPr>
              <w:pStyle w:val="TableContents"/>
              <w:bidi w:val="0"/>
              <w:spacing w:before="0" w:after="283"/>
              <w:jc w:val="both"/>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u w:val="single"/>
              </w:rPr>
            </w:pPr>
            <w:r>
              <w:rPr>
                <w:rFonts w:ascii="sans-serif" w:hAnsi="sans-serif"/>
                <w:color w:val="000000"/>
                <w:sz w:val="24"/>
                <w:u w:val="single"/>
              </w:rPr>
              <w:t>Holidays: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jc w:val="left"/>
              <w:rPr>
                <w:rFonts w:ascii="sans-serif" w:hAnsi="sans-serif"/>
                <w:color w:val="000000"/>
                <w:sz w:val="24"/>
              </w:rPr>
            </w:pPr>
            <w:r>
              <w:rPr>
                <w:rFonts w:ascii="sans-serif" w:hAnsi="sans-serif"/>
                <w:color w:val="000000"/>
                <w:sz w:val="24"/>
              </w:rPr>
              <w:t>You are eligible for aTyr’s paid holidays. The schedule is published prior to the beginning of each calendar year.</w:t>
            </w:r>
          </w:p>
          <w:p>
            <w:pPr>
              <w:pStyle w:val="TableContents"/>
              <w:bidi w:val="0"/>
              <w:spacing w:before="0" w:after="283"/>
              <w:jc w:val="both"/>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Employment at Will</w:t>
            </w:r>
            <w:r>
              <w:rPr>
                <w:rFonts w:ascii="sans-serif" w:hAnsi="sans-serif"/>
                <w:color w:val="000000"/>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jc w:val="both"/>
              <w:rPr>
                <w:rFonts w:ascii="sans-serif" w:hAnsi="sans-serif"/>
                <w:color w:val="000000"/>
                <w:sz w:val="24"/>
              </w:rPr>
            </w:pPr>
            <w:r>
              <w:rPr>
                <w:rFonts w:ascii="sans-serif" w:hAnsi="sans-serif"/>
                <w:color w:val="000000"/>
                <w:sz w:val="24"/>
              </w:rPr>
              <w:t>Your employment is at-will, which means it may be terminated at any time by you or the Company for any reason, with or without cause, and that your employment is not for any specific period of time. Any change to the at-will employment relationship must be by a specific, written agreement signed by you and the Company’s President and Chief Executive Officer.</w:t>
            </w:r>
          </w:p>
          <w:p>
            <w:pPr>
              <w:pStyle w:val="TableContents"/>
              <w:bidi w:val="0"/>
              <w:spacing w:before="0" w:after="283"/>
              <w:jc w:val="both"/>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u w:val="single"/>
              </w:rPr>
              <w:t>Promotion Start Date</w:t>
            </w:r>
            <w:r>
              <w:rPr>
                <w:rFonts w:ascii="sans-serif" w:hAnsi="sans-serif"/>
                <w:color w:val="000000"/>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4"/>
              </w:rPr>
            </w:pPr>
            <w:r>
              <w:rPr>
                <w:rFonts w:ascii="sans-serif" w:hAnsi="sans-serif"/>
                <w:color w:val="000000"/>
                <w:sz w:val="24"/>
              </w:rPr>
              <w:t>October 1, 2026 or a mutually agreed upon date.</w:t>
            </w:r>
          </w:p>
        </w:tc>
      </w:tr>
    </w:tbl>
    <w:p>
      <w:pPr>
        <w:pStyle w:val="TextBody"/>
        <w:pBdr/>
        <w:bidi w:val="0"/>
        <w:ind w:left="0" w:right="0" w:hanging="2160"/>
        <w:jc w:val="left"/>
        <w:rPr/>
      </w:pPr>
      <w:r>
        <w:rPr/>
        <w:t> </w:t>
      </w:r>
    </w:p>
    <w:p>
      <w:pPr>
        <w:pStyle w:val="TextBody"/>
        <w:bidi w:val="0"/>
        <w:jc w:val="both"/>
        <w:rPr>
          <w:rFonts w:ascii="Times New Roman" w:hAnsi="Times New Roman"/>
          <w:sz w:val="20"/>
        </w:rPr>
      </w:pPr>
      <w:r>
        <w:rPr>
          <w:rFonts w:ascii="sans-serif" w:hAnsi="sans-serif"/>
          <w:color w:val="000000"/>
          <w:sz w:val="24"/>
        </w:rPr>
        <w:t>Your will continue to (i) be bound by that certain Employee Nondisclosure and Assignment Agreement effective as of May 9, 2022 (the “Employee NDA”), and (ii) abide by the Company’s code of conduct and other policies applicable to employees as set forth in the Company’s employee handbook in effect from time to time.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To aid the rapid and economical resolution of disputes that may arise in connection with your employment with the Company, and in exchange for the mutual promises contained in this Amended and Restated Offer Letter, you and the Company agree that any and all disputes, claims, or causes of action, in law or equity, including but not limited to statutory claims, arising from or relating to the enforcement, breach, performance, or interpretation of this Amended and Restated Offer Letter, your employment with the Company, or the termination of your employment, shall be resolved to the fullest extent permitted by law, by final, binding and confidential arbitration conducted by JAMS, Inc. (“JAMS”) or its successor, under JAMS’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Brandon Yaras</w:t>
      </w:r>
    </w:p>
    <w:p>
      <w:pPr>
        <w:pStyle w:val="TextBody"/>
        <w:bidi w:val="0"/>
        <w:jc w:val="left"/>
        <w:rPr>
          <w:rFonts w:ascii="Times New Roman" w:hAnsi="Times New Roman"/>
          <w:sz w:val="20"/>
        </w:rPr>
      </w:pPr>
      <w:r>
        <w:rPr>
          <w:rFonts w:ascii="sans-serif" w:hAnsi="sans-serif"/>
          <w:color w:val="000000"/>
          <w:sz w:val="24"/>
        </w:rPr>
        <w:t>Page 3</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4"/>
        </w:rPr>
        <w:t xml:space="preserve">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you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sans-serif" w:hAnsi="sans-serif"/>
          <w:b/>
          <w:color w:val="000000"/>
          <w:sz w:val="24"/>
        </w:rPr>
        <w:t>You acknowledge that by agreeing to this arbitration procedure, both you and the Company waive the right to resolve any such dispute through a trial by jury or judge.</w:t>
      </w:r>
      <w:r>
        <w:rPr>
          <w:rFonts w:ascii="Times New Roman" w:hAnsi="Times New Roman"/>
          <w:color w:val="000000"/>
          <w:sz w:val="20"/>
        </w:rPr>
        <w:t xml:space="preserve"> </w:t>
      </w:r>
      <w:r>
        <w:rPr>
          <w:rFonts w:ascii="sans-serif" w:hAnsi="sans-serif"/>
          <w:color w:val="000000"/>
          <w:sz w:val="24"/>
        </w:rPr>
        <w:t xml:space="preserve">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“Excluded Claims”),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You acknowledge and agree that proceedings of any non-individual claim(s) under the California Private Attorneys General Act (“PAGA”) that may be brought in court shall be stayed for the duration and pending a final resolution of the arbitration of any individual or individual PAGA claim.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sans-serif" w:hAnsi="sans-serif"/>
          <w:b/>
          <w:color w:val="000000"/>
          <w:sz w:val="24"/>
        </w:rPr>
        <w:t>You acknowledge that by agreeing to this arbitration procedure, both you and the Company waive all rights to have any dispute be brought, heard, administered, resolved, or arbitrated on a class, representative, or collective action basis.</w:t>
      </w:r>
      <w:r>
        <w:rPr>
          <w:rFonts w:ascii="Times New Roman" w:hAnsi="Times New Roman"/>
          <w:color w:val="000000"/>
          <w:sz w:val="20"/>
        </w:rPr>
        <w:t xml:space="preserve"> </w:t>
      </w:r>
      <w:r>
        <w:rPr>
          <w:rFonts w:ascii="sans-serif" w:hAnsi="sans-serif"/>
          <w:color w:val="000000"/>
          <w:sz w:val="24"/>
        </w:rPr>
        <w:t>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you or the Company would otherwise be entitled to seek in a court of law; and (b) issue a written statement signed by the arbitrator regarding the disposition of each claim and the relief, if any, awarded as to each claim,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Brandon Yaras</w:t>
      </w:r>
    </w:p>
    <w:p>
      <w:pPr>
        <w:pStyle w:val="TextBody"/>
        <w:bidi w:val="0"/>
        <w:jc w:val="left"/>
        <w:rPr>
          <w:rFonts w:ascii="Times New Roman" w:hAnsi="Times New Roman"/>
          <w:sz w:val="20"/>
        </w:rPr>
      </w:pPr>
      <w:r>
        <w:rPr>
          <w:rFonts w:ascii="sans-serif" w:hAnsi="sans-serif"/>
          <w:color w:val="000000"/>
          <w:sz w:val="24"/>
        </w:rPr>
        <w:t>Page 4</w:t>
      </w:r>
      <w:r>
        <w:rPr>
          <w:rFonts w:ascii="Times New Roman" w:hAnsi="Times New Roman"/>
          <w:color w:val="000000"/>
          <w:sz w:val="20"/>
        </w:rPr>
        <w:t xml:space="preserve"> </w:t>
      </w:r>
    </w:p>
    <w:p>
      <w:pPr>
        <w:pStyle w:val="TextBody"/>
        <w:bidi w:val="0"/>
        <w:jc w:val="both"/>
        <w:rPr>
          <w:rFonts w:ascii="sans-serif" w:hAnsi="sans-serif"/>
          <w:color w:val="000000"/>
          <w:sz w:val="24"/>
        </w:rPr>
      </w:pPr>
      <w:r>
        <w:rPr>
          <w:rFonts w:ascii="sans-serif" w:hAnsi="sans-serif"/>
          <w:color w:val="000000"/>
          <w:sz w:val="24"/>
        </w:rPr>
        <w:t>reasons for the award, and the arbitrator’s essential findings and conclusions on which the award is based. The Company shall pay all JAMS arbitration administrative fees in excess of the administrative fees that you would be required to pay if the dispute were decided in a court of law. Each party is responsible for its own attorneys’ fees, except as may be expressly set forth in your Employee NDA or as otherwise provided under applicable law. Nothing in this Amended and Restated Offer Letter is intended to prevent either you or the Company from seeking or obtaining injunctive relief, or provisional remedies as permitted under applicable law, in court to prevent irreparable harm pending the conclusion of any such arbitration. The pursuit of injunctive relief shall not be deemed incompatible with or constitute a waiver of rights under this Amended and Restated Offer Letter. Any awards or orders in such arbitrations may be entered and enforced as judgments in the federal and state courts of any competent jurisdiction.</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It is aTyr’s policy to respect fully the rights of your previous employers in their proprietary or confidential information. No employee is expected to disclose, or is allowed to use for aTyr’s purposes, any confidential or proprietary information he or she may have acquired as a result of previous employment.</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I am pleased to extend this promotion offer to you and look forward to your acceptance. Please sign and return the enclosed copy of this Amended and Restated Offer Letter as soon as possible to indicate your agreement with the terms of this offer. This offer will lapse if not signed and returned by Friday, August 7,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Once signed by you, this letter, together with the Employee NDA, will constitute the complete agreement between you and the Company regarding employment matters and will supersede all prior written or oral agreements or understandings on these matters, including without limitation your prior offer letter dated March 9, 2022.</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 xml:space="preserve">Yours sincerely,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/s/ Sanjay S. Shukla</w:t>
      </w:r>
    </w:p>
    <w:p>
      <w:pPr>
        <w:pStyle w:val="TextBody"/>
        <w:bidi w:val="0"/>
        <w:jc w:val="both"/>
        <w:rPr>
          <w:rFonts w:ascii="sans-serif" w:hAnsi="sans-serif"/>
          <w:color w:val="000000"/>
          <w:sz w:val="24"/>
        </w:rPr>
      </w:pPr>
      <w:r>
        <w:rPr>
          <w:rFonts w:ascii="sans-serif" w:hAnsi="sans-serif"/>
          <w:color w:val="000000"/>
          <w:sz w:val="24"/>
        </w:rPr>
        <w:t>Sanjay S. Shukla, M.D., M.S.</w:t>
      </w:r>
    </w:p>
    <w:p>
      <w:pPr>
        <w:pStyle w:val="TextBody"/>
        <w:bidi w:val="0"/>
        <w:jc w:val="both"/>
        <w:rPr>
          <w:rFonts w:ascii="sans-serif" w:hAnsi="sans-serif"/>
          <w:color w:val="000000"/>
          <w:sz w:val="24"/>
        </w:rPr>
      </w:pPr>
      <w:r>
        <w:rPr>
          <w:rFonts w:ascii="sans-serif" w:hAnsi="sans-serif"/>
          <w:color w:val="000000"/>
          <w:sz w:val="24"/>
        </w:rPr>
        <w:t>President and Chief Executive Officer</w:t>
      </w:r>
    </w:p>
    <w:p>
      <w:pPr>
        <w:pStyle w:val="TextBody"/>
        <w:bidi w:val="0"/>
        <w:jc w:val="both"/>
        <w:rPr/>
      </w:pPr>
      <w:r>
        <w:rPr/>
        <w:t> </w:t>
      </w:r>
    </w:p>
    <w:p>
      <w:pPr>
        <w:pStyle w:val="TextBody"/>
        <w:bidi w:val="0"/>
        <w:jc w:val="both"/>
        <w:rPr>
          <w:rFonts w:ascii="sans-serif" w:hAnsi="sans-serif"/>
          <w:b/>
          <w:i/>
          <w:color w:val="000000"/>
          <w:sz w:val="24"/>
        </w:rPr>
      </w:pPr>
      <w:r>
        <w:rPr>
          <w:rFonts w:ascii="sans-serif" w:hAnsi="sans-serif"/>
          <w:b/>
          <w:i/>
          <w:color w:val="000000"/>
          <w:sz w:val="24"/>
        </w:rPr>
        <w:t>I accept the terms of employment as described in this Amended and Restated Offer Letter dated August 7, 2026. I confirm that by my promotion start date at aTyr Pharma, Inc. I will be under no contract or agreement with any other entity which would in any way restrict my ability to work at aTyr Pharma, Inc. or perform the functions of my job for aTyr, including, but not limited to, any employment agreement and/or non-compete agreement.</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4"/>
          <w:u w:val="single"/>
        </w:rPr>
        <w:t xml:space="preserve">/s/ </w:t>
      </w:r>
      <w:r>
        <w:rPr>
          <w:rFonts w:ascii="sans-serif" w:hAnsi="sans-serif"/>
          <w:color w:val="000000"/>
          <w:sz w:val="24"/>
          <w:u w:val="single"/>
        </w:rPr>
        <w:t>Brandon Yaras</w:t>
      </w:r>
      <w:r>
        <w:rPr>
          <w:rFonts w:ascii="sans-serif" w:hAnsi="sans-serif"/>
          <w:i/>
          <w:color w:val="000000"/>
          <w:sz w:val="24"/>
        </w:rPr>
        <w:t>______________________________ Date_</w:t>
      </w:r>
      <w:r>
        <w:rPr>
          <w:rFonts w:ascii="sans-serif" w:hAnsi="sans-serif"/>
          <w:i/>
          <w:color w:val="000000"/>
          <w:sz w:val="24"/>
          <w:u w:val="single"/>
        </w:rPr>
        <w:t>August 7, 2026</w:t>
      </w:r>
      <w:r>
        <w:rPr>
          <w:rFonts w:ascii="sans-serif" w:hAnsi="sans-serif"/>
          <w:i/>
          <w:color w:val="000000"/>
          <w:sz w:val="24"/>
        </w:rPr>
        <w:t>______________________</w:t>
      </w:r>
    </w:p>
    <w:p>
      <w:pPr>
        <w:pStyle w:val="TextBody"/>
        <w:bidi w:val="0"/>
        <w:jc w:val="left"/>
        <w:rPr>
          <w:rFonts w:ascii="sans-serif" w:hAnsi="sans-serif"/>
          <w:color w:val="000000"/>
          <w:sz w:val="24"/>
        </w:rPr>
      </w:pPr>
      <w:r>
        <w:rPr>
          <w:rFonts w:ascii="sans-serif" w:hAnsi="sans-serif"/>
          <w:color w:val="000000"/>
          <w:sz w:val="24"/>
        </w:rPr>
        <w:t>Brandon Yaras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tyr-ex31_1.htm"/>
      <w:bookmarkStart w:id="28" w:name="ksatyrex31_1"/>
      <w:bookmarkEnd w:id="27"/>
      <w:bookmarkEnd w:id="2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Sanjay S. Shukla,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aTyr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807" w:type="dxa"/>
        <w:jc w:val="left"/>
        <w:tblInd w:w="0" w:type="dxa"/>
        <w:tblLayout w:type="fixed"/>
        <w:tblCellMar>
          <w:top w:w="28" w:type="dxa"/>
          <w:left w:w="28" w:type="dxa"/>
          <w:bottom w:w="28" w:type="dxa"/>
          <w:right w:w="28" w:type="dxa"/>
        </w:tblCellMar>
      </w:tblPr>
      <w:tblGrid>
        <w:gridCol w:w="1846"/>
        <w:gridCol w:w="3961"/>
      </w:tblGrid>
      <w:tr>
        <w:trPr/>
        <w:tc>
          <w:tcPr>
            <w:tcW w:w="18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39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S. Shukla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tyr-ex31_2.htm"/>
      <w:bookmarkStart w:id="30" w:name="ksatyrex31_2"/>
      <w:bookmarkEnd w:id="29"/>
      <w:bookmarkEnd w:id="3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Jill M. Broadfoot,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aTyr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717" w:type="dxa"/>
        <w:jc w:val="left"/>
        <w:tblInd w:w="0" w:type="dxa"/>
        <w:tblLayout w:type="fixed"/>
        <w:tblCellMar>
          <w:top w:w="28" w:type="dxa"/>
          <w:left w:w="28" w:type="dxa"/>
          <w:bottom w:w="28" w:type="dxa"/>
          <w:right w:w="28" w:type="dxa"/>
        </w:tblCellMar>
      </w:tblPr>
      <w:tblGrid>
        <w:gridCol w:w="184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7, 2026</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atyr-ex32_1.htm"/>
      <w:bookmarkStart w:id="32" w:name="ksatyrex32_1"/>
      <w:bookmarkEnd w:id="31"/>
      <w:bookmarkEnd w:id="32"/>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aTyr Pharma, Inc. (the “Company”) for the period ended June 30, 2026, as filed with the Securities and Exchange Commission on the date hereof (the “Report”), I, Sanjay S. Shukla, President and Chief Executive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915" w:type="dxa"/>
        <w:jc w:val="left"/>
        <w:tblInd w:w="0" w:type="dxa"/>
        <w:tblLayout w:type="fixed"/>
        <w:tblCellMar>
          <w:top w:w="28" w:type="dxa"/>
          <w:left w:w="28" w:type="dxa"/>
          <w:bottom w:w="28" w:type="dxa"/>
          <w:right w:w="28" w:type="dxa"/>
        </w:tblCellMar>
      </w:tblPr>
      <w:tblGrid>
        <w:gridCol w:w="1846"/>
        <w:gridCol w:w="4069"/>
      </w:tblGrid>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4069" w:type="dxa"/>
            <w:tcBorders/>
            <w:shd w:fill="FFFFFF" w:val="cle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40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S. Shukla</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406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Sanjay S. Shukla, M.D., M.S.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406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406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Section 1350, is not being filed for purposes of Section 18 of the Exchange Act, and is not to be incorporated by reference into any filing of the Company, whether made before or after the date hereof, regardless of any general incorporation language in such filing.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atyr-ex32_2.htm"/>
      <w:bookmarkStart w:id="34" w:name="ksatyrex32_2"/>
      <w:bookmarkEnd w:id="33"/>
      <w:bookmarkEnd w:id="34"/>
      <w:r>
        <w:rPr>
          <w:rFonts w:ascii="Times New Roman" w:hAnsi="Times New Roman"/>
          <w:b/>
          <w:color w:val="000000"/>
          <w:sz w:val="20"/>
        </w:rPr>
        <w:t>Exhibit 32.2</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aTyr Pharma, Inc. (the “Company”) for the period ended June 30, 2026, as filed with the Securities and Exchange Commission on the date hereof (the “Report”), I, Jill M. Broadfoot,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717" w:type="dxa"/>
        <w:jc w:val="left"/>
        <w:tblInd w:w="0" w:type="dxa"/>
        <w:tblLayout w:type="fixed"/>
        <w:tblCellMar>
          <w:top w:w="28" w:type="dxa"/>
          <w:left w:w="28" w:type="dxa"/>
          <w:bottom w:w="28" w:type="dxa"/>
          <w:right w:w="28" w:type="dxa"/>
        </w:tblCellMar>
      </w:tblPr>
      <w:tblGrid>
        <w:gridCol w:w="1846"/>
        <w:gridCol w:w="3871"/>
      </w:tblGrid>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Section 1350, is not being filed for purposes of Section 18 of the Exchange Act, and is not to be incorporated by reference into any filing of the Company, whether made before or after the date hereof, regardless of any general incorporation language in such filing.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339970/000095017022024724/life-ex3_1.htm" TargetMode="External"/><Relationship Id="rId4" Type="http://schemas.openxmlformats.org/officeDocument/2006/relationships/hyperlink" Target="https://www.sec.gov/Archives/edgar/data/1339970/000156459019024064/life-ex31_7.htm" TargetMode="External"/><Relationship Id="rId5" Type="http://schemas.openxmlformats.org/officeDocument/2006/relationships/hyperlink" Target="https://www.sec.gov/Archives/edgar/data/1339970/000156459020024729/life-ex33_130.htm" TargetMode="External"/><Relationship Id="rId6" Type="http://schemas.openxmlformats.org/officeDocument/2006/relationships/hyperlink" Target="https://www.sec.gov/Archives/edgar/data/1339970/000156459021023319/life-ex31_14.htm" TargetMode="External"/><Relationship Id="rId7" Type="http://schemas.openxmlformats.org/officeDocument/2006/relationships/hyperlink" Target="https://www.sec.gov/Archives/edgar/data/1339970/000156459022016548/life-ex31_8.htm" TargetMode="External"/><Relationship Id="rId8" Type="http://schemas.openxmlformats.org/officeDocument/2006/relationships/hyperlink" Target="https://www.sec.gov/Archives/edgar/data/1339970/000095017023023257/life-ex3_1.htm" TargetMode="External"/><Relationship Id="rId9" Type="http://schemas.openxmlformats.org/officeDocument/2006/relationships/hyperlink" Target="https://www.sec.gov/Archives/edgar/data/1339970/000133997026000033/atyr-ex3_7.htm" TargetMode="External"/><Relationship Id="rId10" Type="http://schemas.openxmlformats.org/officeDocument/2006/relationships/hyperlink" Target="https://www.sec.gov/Archives/edgar/data/1339970/000095017022024724/life-ex3_6.htm" TargetMode="External"/><Relationship Id="rId11" Type="http://schemas.openxmlformats.org/officeDocument/2006/relationships/hyperlink" Target="https://www.sec.gov/Archives/edgar/data/1339970/000119312515148013/d819057dex41.htm" TargetMode="External"/><Relationship Id="rId12" Type="http://schemas.openxmlformats.org/officeDocument/2006/relationships/hyperlink" Target="https://www.sec.gov/Archives/edgar/data/1339970/000119312515148013/d819057dex41.htm" TargetMode="External"/><Relationship Id="rId13" Type="http://schemas.openxmlformats.org/officeDocument/2006/relationships/hyperlink" Target="https://www.sec.gov/Archives/edgar/data/1339970/000119312515148013/d819057dex41.htm" TargetMode="External"/><Relationship Id="rId14" Type="http://schemas.openxmlformats.org/officeDocument/2006/relationships/hyperlink" Target="https://www.sec.gov/Archives/edgar/data/1339970/000119312515148013/d819057dex41.htm" TargetMode="External"/><Relationship Id="rId15" Type="http://schemas.openxmlformats.org/officeDocument/2006/relationships/hyperlink" Target="https://www.sec.gov/Archives/edgar/data/1339970/000119312515148013/d819057dex41.htm" TargetMode="External"/><Relationship Id="rId16" Type="http://schemas.openxmlformats.org/officeDocument/2006/relationships/hyperlink" Target="https://www.sec.gov/Archives/edgar/data/1339970/000119312515148013/d819057dex41.htm" TargetMode="External"/><Relationship Id="rId17" Type="http://schemas.openxmlformats.org/officeDocument/2006/relationships/hyperlink" Target="https://www.sec.gov/Archives/edgar/data/1339970/000119312515148013/d819057dex41.htm" TargetMode="External"/><Relationship Id="rId18" Type="http://schemas.openxmlformats.org/officeDocument/2006/relationships/hyperlink" Target="https://www.sec.gov/Archives/edgar/data/1339970/000133997026000033/atyr-ex10_1.htm" TargetMode="External"/><Relationship Id="rId19" Type="http://schemas.openxmlformats.org/officeDocument/2006/relationships/hyperlink" Target="https://www.sec.gov/Archives/edgar/data/1339970/000133997026000042/atyr-ex99_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54415</Words>
  <Characters>304423</Characters>
  <CharactersWithSpaces>359034</CharactersWithSpaces>
  <Paragraphs>4700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