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yr-20260331.htm"/>
      <w:bookmarkStart w:id="1" w:name="ksatyr20260331"/>
      <w:bookmarkEnd w:id="0"/>
      <w:bookmarkEnd w:id="1"/>
      <w:r>
        <w:rPr/>
        <w:t> </w:t>
      </w:r>
    </w:p>
    <w:p>
      <w:pPr>
        <w:pStyle w:val="TextBody"/>
        <w:pBdr>
          <w:top w:val="double" w:sz="4" w:space="1" w:color="000000"/>
        </w:pBdr>
        <w:bidi w:val="0"/>
        <w:jc w:val="left"/>
        <w:rPr>
          <w:rFonts w:ascii="Times New Roman" w:hAnsi="Times New Roman"/>
          <w:color w:val="000000"/>
          <w:sz w:val="2"/>
        </w:rPr>
      </w:pPr>
      <w:r>
        <w:rPr>
          <w:rFonts w:ascii="Times New Roman" w:hAnsi="Times New Roman"/>
          <w:color w:val="000000"/>
          <w:sz w:val="2"/>
        </w:rPr>
        <w:t>f+</w:t>
      </w:r>
    </w:p>
    <w:p>
      <w:pPr>
        <w:pStyle w:val="TextBody"/>
        <w:bidi w:val="0"/>
        <w:jc w:val="left"/>
        <w:rPr/>
      </w:pPr>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spacing w:before="40" w:after="283"/>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4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Commission File Number: 001-37378</w:t>
      </w:r>
    </w:p>
    <w:p>
      <w:pPr>
        <w:pStyle w:val="TextBody"/>
        <w:pBdr>
          <w:bottom w:val="single" w:sz="4" w:space="1" w:color="000000"/>
        </w:pBdr>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4711"/>
        <w:gridCol w:w="1486"/>
      </w:tblGrid>
      <w:tr>
        <w:trPr/>
        <w:tc>
          <w:tcPr>
            <w:tcW w:w="471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4711"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47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10240 Sorrento Valley Road, Suite 300, San Diego,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47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20"/>
        </w:rPr>
      </w:pPr>
      <w:r>
        <w:rPr>
          <w:rFonts w:ascii="Times New Roman" w:hAnsi="Times New Roman"/>
          <w:b/>
          <w:color w:val="000000"/>
          <w:sz w:val="20"/>
        </w:rPr>
        <w:t>(858) 731-8389</w:t>
      </w:r>
    </w:p>
    <w:p>
      <w:pPr>
        <w:pStyle w:val="TextBody"/>
        <w:bidi w:val="0"/>
        <w:spacing w:before="60" w:after="283"/>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ATYR</w:t>
            </w:r>
          </w:p>
        </w:tc>
        <w:tc>
          <w:tcPr>
            <w:tcW w:w="382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01" w:type="dxa"/>
        <w:jc w:val="left"/>
        <w:tblInd w:w="0" w:type="dxa"/>
        <w:tblLayout w:type="fixed"/>
        <w:tblCellMar>
          <w:top w:w="28" w:type="dxa"/>
          <w:left w:w="28" w:type="dxa"/>
          <w:bottom w:w="28" w:type="dxa"/>
          <w:right w:w="28" w:type="dxa"/>
        </w:tblCellMar>
      </w:tblPr>
      <w:tblGrid>
        <w:gridCol w:w="1921"/>
        <w:gridCol w:w="146"/>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May 11, 2026, there were 98,051,212 shares of the registrant’s common stock, par value $0.001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93"/>
        <w:gridCol w:w="146"/>
        <w:gridCol w:w="1066"/>
      </w:tblGrid>
      <w:tr>
        <w:trPr/>
        <w:tc>
          <w:tcPr>
            <w:tcW w:w="8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balance_sheets">
              <w:r>
                <w:rPr>
                  <w:rStyle w:val="InternetLink"/>
                  <w:rFonts w:ascii="Times New Roman" w:hAnsi="Times New Roman"/>
                  <w:color w:val="0000FF"/>
                  <w:sz w:val="20"/>
                  <w:u w:val="single"/>
                </w:rPr>
                <w:t>Condensed Consolidated Balance Sheets as of March 31,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operat">
              <w:r>
                <w:rPr>
                  <w:rStyle w:val="InternetLink"/>
                  <w:rFonts w:ascii="Times New Roman" w:hAnsi="Times New Roman"/>
                  <w:color w:val="0000FF"/>
                  <w:sz w:val="20"/>
                  <w:u w:val="single"/>
                </w:rPr>
                <w:t>Condensed Consolidated Statements of Operations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compre">
              <w:r>
                <w:rPr>
                  <w:rStyle w:val="InternetLink"/>
                  <w:rFonts w:ascii="Times New Roman" w:hAnsi="Times New Roman"/>
                  <w:color w:val="0000FF"/>
                  <w:sz w:val="20"/>
                  <w:u w:val="single"/>
                </w:rPr>
                <w:t>Condensed Consolidated Statements of Comprehensive Loss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5</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equity">
              <w:r>
                <w:rPr>
                  <w:rStyle w:val="InternetLink"/>
                  <w:rFonts w:ascii="Times New Roman" w:hAnsi="Times New Roman"/>
                  <w:color w:val="0000FF"/>
                  <w:sz w:val="20"/>
                  <w:u w:val="single"/>
                </w:rPr>
                <w:t>Condensed Consolidated Statements of Stockholders’ Equity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6</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810"/>
              <w:jc w:val="right"/>
              <w:rPr>
                <w:rFonts w:ascii="Times New Roman" w:hAnsi="Times New Roman"/>
                <w:color w:val="000000"/>
                <w:sz w:val="20"/>
              </w:rPr>
            </w:pPr>
            <w:r>
              <w:rPr>
                <w:rFonts w:ascii="Times New Roman" w:hAnsi="Times New Roman"/>
                <w:color w:val="000000"/>
                <w:sz w:val="20"/>
              </w:rPr>
              <w:t>7</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810"/>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8</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16</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23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pPr>
            <w:r>
              <w:rPr/>
              <w:t> </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part_ii_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24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24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2_unregistered_sales_of_equity">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4_mine_safety_disclosure">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5_othe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ind w:left="0" w:right="0" w:firstLine="180"/>
              <w:jc w:val="right"/>
              <w:rPr>
                <w:rFonts w:ascii="Times New Roman" w:hAnsi="Times New Roman"/>
                <w:color w:val="000000"/>
                <w:sz w:val="20"/>
              </w:rPr>
            </w:pPr>
            <w:r>
              <w:rPr>
                <w:rFonts w:ascii="Times New Roman" w:hAnsi="Times New Roman"/>
                <w:color w:val="000000"/>
                <w:sz w:val="20"/>
              </w:rPr>
              <w:t>63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8993"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9"/>
        <w:gridCol w:w="146"/>
        <w:gridCol w:w="211"/>
        <w:gridCol w:w="844"/>
        <w:gridCol w:w="166"/>
        <w:gridCol w:w="146"/>
        <w:gridCol w:w="222"/>
        <w:gridCol w:w="888"/>
        <w:gridCol w:w="413"/>
      </w:tblGrid>
      <w:tr>
        <w:trPr/>
        <w:tc>
          <w:tcPr>
            <w:tcW w:w="7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80,237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10,308</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per share; 5,000,000 undesignated authorized shares as of March 31, 2026 (unaudited) and December 31, 2025, respectively; no shares issued or outstanding as of March 31, 2026 (unaudited)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per share; 170,000,000 authorized shares as of March 31, 2026 (unaudited) and December 31, 2025; issued and outstanding shares – 98,051,212 as of March 31, 2026 (unaudited) and 98,031,104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(606,164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aTyr Pharma,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 in Pangu BioPharma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9849" w:type="dxa"/>
        <w:jc w:val="left"/>
        <w:tblInd w:w="0" w:type="dxa"/>
        <w:tblLayout w:type="fixed"/>
        <w:tblCellMar>
          <w:top w:w="28" w:type="dxa"/>
          <w:left w:w="28" w:type="dxa"/>
          <w:bottom w:w="28" w:type="dxa"/>
          <w:right w:w="28" w:type="dxa"/>
        </w:tblCellMar>
      </w:tblPr>
      <w:tblGrid>
        <w:gridCol w:w="6486"/>
        <w:gridCol w:w="146"/>
        <w:gridCol w:w="211"/>
        <w:gridCol w:w="1036"/>
        <w:gridCol w:w="166"/>
        <w:gridCol w:w="146"/>
        <w:gridCol w:w="211"/>
        <w:gridCol w:w="1036"/>
        <w:gridCol w:w="411"/>
      </w:tblGrid>
      <w:tr>
        <w:trPr/>
        <w:tc>
          <w:tcPr>
            <w:tcW w:w="6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noncontrolling interest in Pangu BioPharma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aTyr Pharma,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98,043,839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86,485,126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6"/>
        <w:gridCol w:w="146"/>
        <w:gridCol w:w="260"/>
        <w:gridCol w:w="912"/>
        <w:gridCol w:w="205"/>
        <w:gridCol w:w="180"/>
        <w:gridCol w:w="260"/>
        <w:gridCol w:w="912"/>
        <w:gridCol w:w="414"/>
      </w:tblGrid>
      <w:tr>
        <w:trPr/>
        <w:tc>
          <w:tcPr>
            <w:tcW w:w="6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 on available-for-sale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noncontrolling interest in Pangu BioPharma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aTyr Pharma, Inc.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(10,853</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jc w:val="center"/>
        <w:rPr>
          <w:rFonts w:ascii="Times New Roman" w:hAnsi="Times New Roman"/>
          <w:sz w:val="20"/>
        </w:rPr>
      </w:pPr>
      <w:bookmarkStart w:id="7" w:name="condensed_consolidated_statements_equity"/>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08"/>
        <w:gridCol w:w="146"/>
        <w:gridCol w:w="916"/>
        <w:gridCol w:w="146"/>
        <w:gridCol w:w="249"/>
        <w:gridCol w:w="442"/>
        <w:gridCol w:w="146"/>
        <w:gridCol w:w="196"/>
        <w:gridCol w:w="691"/>
        <w:gridCol w:w="146"/>
        <w:gridCol w:w="439"/>
        <w:gridCol w:w="777"/>
        <w:gridCol w:w="166"/>
        <w:gridCol w:w="217"/>
        <w:gridCol w:w="834"/>
        <w:gridCol w:w="166"/>
        <w:gridCol w:w="372"/>
        <w:gridCol w:w="829"/>
        <w:gridCol w:w="166"/>
        <w:gridCol w:w="237"/>
        <w:gridCol w:w="804"/>
        <w:gridCol w:w="412"/>
      </w:tblGrid>
      <w:tr>
        <w:trPr/>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 (unaudited)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98,031,104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67,288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unrealized loss on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98,051,212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57,741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5"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 (unaudited)</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84,038,922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69,832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release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from at-the-market offerings,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1,178</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unrealized loss on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(14,881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89,002,825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74,862</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32"/>
        <w:gridCol w:w="146"/>
        <w:gridCol w:w="259"/>
        <w:gridCol w:w="906"/>
        <w:gridCol w:w="204"/>
        <w:gridCol w:w="179"/>
        <w:gridCol w:w="259"/>
        <w:gridCol w:w="906"/>
        <w:gridCol w:w="614"/>
      </w:tblGrid>
      <w:tr>
        <w:trPr/>
        <w:tc>
          <w:tcPr>
            <w:tcW w:w="6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3"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of available-for-sale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available-for-sale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(23,105</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available-for-sale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through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from at-the-market offerings,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paid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11,813</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120" w:after="283"/>
        <w:jc w:val="center"/>
        <w:rPr>
          <w:rFonts w:ascii="Times New Roman" w:hAnsi="Times New Roman"/>
          <w:b/>
          <w:color w:val="000000"/>
          <w:sz w:val="20"/>
        </w:rPr>
      </w:pPr>
      <w:bookmarkStart w:id="9" w:name="notes_to_condensed_consolidated_financia"/>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Business, Basis of Presentation and Summary of Significant Accounting Policies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were incorporated in the state of Delaware on September 8, 2005. We are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Our discovery platform is focused on unlocking hidden therapeutic intervention points by uncovering signaling pathways driven by our proprietary library of domains derived from all 20 tRNA synthetases.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unaudited condensed consolidated financial statements include our accounts and our 98% majority-owned subsidiary in Hong Kong, Pangu BioPharma Limited (Pangu BioPharma). All intercompany transactions and balances are eliminated in consolidation.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interim unaudited condensed consolidated financial statements have been prepared in accordance with United States generally accepted accounting principles (U.S. GAAP) and follow the requirements of the U.S. Securities and Exchange Commission (SEC) for interim reporting. As permitted under those rules, certain footnotes or other financial information that are normally required by U.S. GAAP can be condensed or omitted. In our opinion, the unaudited interim condensed consolidated financial statements have been prepared on the same basis as the audited consolidated financial statements and include all adjustments, which include only normal recurring adjustments, necessary for the fair presentation of our financial position and our results of operations and cash flows for periods presented. These statements do not include all disclosures required by U.S. GAAP and should be read in conjunction with our financial statements and accompanying notes for the fiscal year ended December 31, 2025, contained in our Annual Report on Form 10-K for the year ended December 31, 2025, filed with the SEC on March 5, 2026. The results of the interim periods are not necessarily indicative of the results expected for the full fiscal year or any other interim period or any future year or period.</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Liquidity and Financial Condition</w:t>
      </w:r>
    </w:p>
    <w:p>
      <w:pPr>
        <w:pStyle w:val="TextBody"/>
        <w:bidi w:val="0"/>
        <w:jc w:val="both"/>
        <w:rPr>
          <w:rFonts w:ascii="Times New Roman" w:hAnsi="Times New Roman"/>
          <w:sz w:val="20"/>
        </w:rPr>
      </w:pPr>
      <w:r>
        <w:rPr>
          <w:rFonts w:ascii="Times New Roman" w:hAnsi="Times New Roman"/>
          <w:color w:val="000000"/>
          <w:sz w:val="20"/>
        </w:rPr>
        <w:t>We have incurred net losses and negative cash flows from operations since our inception in 2005, including a consolidated net loss of $10.8 million for the three months ended March 31, 2026. As of March 31, 2026, we had an accumulated deficit of $617.0 million. We currently have an “at-the-market” offering program (the Jefferies ATM Offering Program) through an Open Market Sale Agreement</w:t>
      </w:r>
      <w:r>
        <w:rPr>
          <w:rFonts w:ascii="Times New Roman" w:hAnsi="Times New Roman"/>
          <w:color w:val="000000"/>
          <w:sz w:val="13"/>
        </w:rPr>
        <w:t>SM</w:t>
      </w:r>
      <w:r>
        <w:rPr>
          <w:rFonts w:ascii="Times New Roman" w:hAnsi="Times New Roman"/>
          <w:color w:val="000000"/>
          <w:sz w:val="20"/>
        </w:rPr>
        <w:t xml:space="preserve"> with Jefferies LLC (Jefferies). We did not utilize the Jefferies ATM Offering Program during the three months ended March 31, 2026.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offerings, grant funding, collaborations, strategic partnerships and/or licensing arrangements, and when we are closer to commercialization of our product candidates potentially through debt financings.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existing cash, cash equivalents, restricted cash and available-for-sale investments of $68.3 million as of March 31, 2026 will be sufficient to meet our material cash requirements from known contractual and other obligations for a period of at least one year from the filing date of this Quarterly Report on Form 10-Q.</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restricted cash was approximately $1.8 million, which was held as a security deposit in conjunction with our corporate headquarters facility lease and financing leases as discussed further in Note 4 - Commitments and Contingencies.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Allowance of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available-for-sale investments in an unrealized loss position, we first assess whether we intend to sell, or if it is more likely than not that we will be required to sell, the security before recovery of its amortized cost basis. If either of the criteria regarding intent or requirement to sell is met, the security’s amortized cost basis is written down to fair value through earnings. For available-for-sale investments that do not meet the aforementioned criteria, we evaluate whether the decline in fair value has resulted from credit losses or other factors. In making this assessment, we consider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(loss) on the unaudited condensed consolidated statements of operations and comprehensive loss.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elected the practical expedient to exclude the applicable accrued interest from both the fair value and amortized costs basis of our available-for-sale investments for purposes of identifying and measuring an impairment. Accrued interest receivable on available-for-sale investments is recorded within other receivables on our unaudited condensed consolidated balance sheets. Our accounting policy is to not measure an allowance for credit loss for accrued interest receivable and to write-off any uncollectible accrued interest receivable as a reversal of interest income in a timely manner, which we consider to be in the period in which we determine the accrued interest will not be collected by us.</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Use of Estimates</w:t>
      </w:r>
    </w:p>
    <w:p>
      <w:pPr>
        <w:pStyle w:val="TextBody"/>
        <w:bidi w:val="0"/>
        <w:jc w:val="both"/>
        <w:rPr>
          <w:rFonts w:ascii="Times New Roman" w:hAnsi="Times New Roman"/>
          <w:color w:val="000000"/>
          <w:sz w:val="20"/>
        </w:rPr>
      </w:pPr>
      <w:r>
        <w:rPr>
          <w:rFonts w:ascii="Times New Roman" w:hAnsi="Times New Roman"/>
          <w:color w:val="000000"/>
          <w:sz w:val="20"/>
        </w:rPr>
        <w:t>Our unaudited condensed consolidated financial statements are prepared in accordance with U.S. GAAP. The preparation of our unaudited condensed consolidated financial statements requires us to make estimates and assumptions that impact the reported amounts of assets, liabilities and expenses and the disclosure for these items in our unaudited condensed consolidated financial statements and accompanying notes. The most significant estimates in our unaudited condensed consolidated financial statements relate to clinical trial and research and development expenses. Although these estimates are based on our knowledge of current events and actions we may undertake in the future, actual results may ultimately differ materially from these estimates and assumptions.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Accrued expenses include salaries, wages, benefits costs, consulting fees, legal and research and development costs. We have entered into contractual arrangements related to our clinical studies with clinical research organizations (CROs) and contracted development and manufacturing organizations (CDMOs) and recognize expense based on work completed and efforts expended pursuant to our contractual arrangements. We make estimates of our accrued CRO costs as of each balance sheet date based on facts and circumstances known at the time and include total trial management costs, sites activated, patients enrolled and number of patient visits. We estimate the time period over which services will be performed and the level of effort to be expended in each period. There may be instances in which payments made to our service providers including CROs and CDMOs, will temporarily exceed the level of services provided and result in a prepayment of the expense.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determine if an arrangement is a lease at inception. Short-term leases with an initial term of 12 months or less are not recorded on our balance sheet. For long-term leases with an initial term of greater than 12 months, we recognize a right-of-use asset (ROU) and a lease liability based on the present value of future lease payments using an estimated rate of interest that we would pay to borrow equivalent funds on a collateralized basis at the lease commencement date. We determine the lease term at the commencement date by considering whether renewal options and termination options are reasonably assured of exercise. Rent expense for operating leases is recognized on a straight-line basis over the lease term and is included in operating expenses in our unaudited condensed consolidated statements of operations. For financing leases, interest expense and amortization of the ROU is included in operating expenses in our unaudited condensed consolidated statements of operations and variable lease payments are expensed as incurred.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lease is modified, the modified contract is evaluated to determine whether it is or contains a lease. If a lease continues to exist, the lease modification is determined to be a separate contract when the modification grants the lessee an additional ROU that is not included in the original lease and the lease payments increase commensurate with the standalone price for the additional ROU. A lease modification that results in a separate contract will be accounted for in the same manner as a new lease. For a modification that is not a separate contract, we reassess the lease classification using the modified terms and conditions and the facts and circumstances as of the effective date of the modification and recognize the amount of the remeasurement of the lease liability for the modified lease as an adjustment to the corresponding ROU asset.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ROU assets consist of a non-cancelable operating lease for our corporate headquarters and financing leases for various research and development and information technology equipment.</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separate lease and non-lease components for our long-term leases.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evaluate our agreements under Accounting Standards Codification (ASC) Topic 606, </w:t>
      </w:r>
      <w:r>
        <w:rPr>
          <w:rFonts w:ascii="Times New Roman" w:hAnsi="Times New Roman"/>
          <w:i/>
          <w:color w:val="000000"/>
          <w:sz w:val="20"/>
        </w:rPr>
        <w:t xml:space="preserve">Revenue from Contracts with Customers </w:t>
      </w:r>
      <w:r>
        <w:rPr>
          <w:rFonts w:ascii="Times New Roman" w:hAnsi="Times New Roman"/>
          <w:color w:val="000000"/>
          <w:sz w:val="20"/>
        </w:rPr>
        <w:t xml:space="preserve">and ASC Topic 808, </w:t>
      </w:r>
      <w:r>
        <w:rPr>
          <w:rFonts w:ascii="Times New Roman" w:hAnsi="Times New Roman"/>
          <w:i/>
          <w:color w:val="000000"/>
          <w:sz w:val="20"/>
        </w:rPr>
        <w:t>Collaborative Arrangements</w:t>
      </w:r>
      <w:r>
        <w:rPr>
          <w:rFonts w:ascii="Times New Roman" w:hAnsi="Times New Roman"/>
          <w:color w:val="000000"/>
          <w:sz w:val="20"/>
        </w:rPr>
        <w:t>. We recognize revenue when we transfer promised goods or services to customers in an amount that reflects the consideration to which we 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recognize revenue in one of two ways, over time or at a point in time. We recognize revenue over time when we are executing on our performance obligation over time and our partner receives benefit over time. For example, we recognize revenue over time when we provide research and development services. We recognize revenue at a point in time when we transfer control of a distinct performance obligation to our partner. For example, if a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Diluted net loss per share is calculated by dividing the net loss by the weighted-average number of common stock equivalents outstanding for the period determined using the treasury-stock method. Dilutive common stock equivalents are comprised of warrants for common stock, options and restricted stock units outstanding under our stock option plans and estimated shares to be purchased under our employee stock purchase plan. For all periods presented, there is no difference in the number of shares used to calculate basic and diluted shares outstanding due to our net loss position.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Potentially dilutive securities not considered for the calculation of diluted net loss per share are as follows (in common stock equivalents):</w:t>
      </w:r>
    </w:p>
    <w:tbl>
      <w:tblPr>
        <w:tblW w:w="6969" w:type="dxa"/>
        <w:jc w:val="left"/>
        <w:tblInd w:w="0" w:type="dxa"/>
        <w:tblLayout w:type="fixed"/>
        <w:tblCellMar>
          <w:top w:w="28" w:type="dxa"/>
          <w:left w:w="28" w:type="dxa"/>
          <w:bottom w:w="28" w:type="dxa"/>
          <w:right w:w="28" w:type="dxa"/>
        </w:tblCellMar>
      </w:tblPr>
      <w:tblGrid>
        <w:gridCol w:w="4081"/>
        <w:gridCol w:w="146"/>
        <w:gridCol w:w="146"/>
        <w:gridCol w:w="1036"/>
        <w:gridCol w:w="146"/>
        <w:gridCol w:w="146"/>
        <w:gridCol w:w="146"/>
        <w:gridCol w:w="931"/>
        <w:gridCol w:w="1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13,835,392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9,420,566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13,876,099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9,454,709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chief operating decision-maker (CODM) in making decisions regarding resource allocation and assessing performance. We view our operations and manage our business in one operating segment, which includes all activities related to the discovery and development of our product candidates. Our CODM is our Chief Executive Officer, who reviews and evaluates consolidated research and development expenses, general and administrative expenses, net loss, net cash used in operating activities and our consolidated cash and cash equivalents for purposes of making operating decisions, allocating resources and planning and forecasting future periods.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summarizes the significant expense categories regularly reviewed by our CODM for the three months ended March 31, 2026 and 2025.</w:t>
      </w:r>
    </w:p>
    <w:tbl>
      <w:tblPr>
        <w:tblW w:w="9746" w:type="dxa"/>
        <w:jc w:val="left"/>
        <w:tblInd w:w="0" w:type="dxa"/>
        <w:tblLayout w:type="fixed"/>
        <w:tblCellMar>
          <w:top w:w="28" w:type="dxa"/>
          <w:left w:w="28" w:type="dxa"/>
          <w:bottom w:w="28" w:type="dxa"/>
          <w:right w:w="28" w:type="dxa"/>
        </w:tblCellMar>
      </w:tblPr>
      <w:tblGrid>
        <w:gridCol w:w="6521"/>
        <w:gridCol w:w="146"/>
        <w:gridCol w:w="266"/>
        <w:gridCol w:w="931"/>
        <w:gridCol w:w="210"/>
        <w:gridCol w:w="184"/>
        <w:gridCol w:w="266"/>
        <w:gridCol w:w="931"/>
        <w:gridCol w:w="291"/>
      </w:tblGrid>
      <w:tr>
        <w:trPr/>
        <w:tc>
          <w:tcPr>
            <w:tcW w:w="6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Efzofitimod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Preclinical development and other shared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55"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Other segment items includes interest income and interest expense.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 Update (ASU) 2024-03, </w:t>
      </w:r>
      <w:r>
        <w:rPr>
          <w:rFonts w:ascii="Times New Roman" w:hAnsi="Times New Roman"/>
          <w:i/>
          <w:color w:val="000000"/>
          <w:sz w:val="20"/>
        </w:rPr>
        <w:t xml:space="preserve">Income Statement - Reporting Comprehensive Income - Expense Disaggregation Disclosures (Subtopic 220-40), </w:t>
      </w:r>
      <w:r>
        <w:rPr>
          <w:rFonts w:ascii="Times New Roman" w:hAnsi="Times New Roman"/>
          <w:color w:val="000000"/>
          <w:sz w:val="20"/>
        </w:rPr>
        <w:t>which requires entities to disclose, on an annual and interim basis, disaggregated information about certain income statement expense line items on the face of the income statement. The standard is effective for annual reporting periods beginning after December 15, 2026 and interim periods within annual reporting periods beginning after December 15, 2027, with early adoption permitted. We are currently evaluating the impact of the standard on our consolidated financial statements and related disclosure.</w:t>
      </w:r>
    </w:p>
    <w:p>
      <w:pPr>
        <w:pStyle w:val="TextBody"/>
        <w:bidi w:val="0"/>
        <w:spacing w:before="264" w:after="283"/>
        <w:jc w:val="left"/>
        <w:rPr>
          <w:rFonts w:ascii="Times New Roman" w:hAnsi="Times New Roman"/>
          <w:sz w:val="20"/>
        </w:rPr>
      </w:pPr>
      <w:r>
        <w:rPr>
          <w:rFonts w:ascii="Times New Roman" w:hAnsi="Times New Roman"/>
          <w:b/>
          <w:color w:val="000000"/>
          <w:sz w:val="20"/>
        </w:rPr>
        <w:t>2. Fair Value Measurements</w:t>
      </w:r>
      <w:r>
        <w:rPr>
          <w:rFonts w:ascii="Times New Roman" w:hAnsi="Times New Roman"/>
          <w:color w:val="000000"/>
          <w:sz w:val="20"/>
        </w:rPr>
        <w:t xml:space="preserve">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carrying amounts of cash equivalents, prepaid and other assets, accounts payable and accrued liabilities are considered to be representative of their respective fair values because of the short-term nature of those instruments. Investment securities are recorded at fair value.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Level 1: Observable inputs such as quoted prices in active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 Inputs, other than the quoted prices in active markets that are observable either directly or indirectly.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 Unobservable inputs in which there is little or no market data, which require the reporting entity to develop its own assumptions.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commercial paper, corporate debt securities and U.S. government agencies securities. We have no financial liabilities measured at fair value on a recurring basis. None of our non-financial assets and liabilities are recorded at fair value on a non-recurring basis. No transfers between levels have occurred during the periods presented.</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Assets measured at fair value on a recurring basis are as follows (in thousands):</w:t>
      </w:r>
    </w:p>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3231"/>
        <w:gridCol w:w="146"/>
        <w:gridCol w:w="211"/>
        <w:gridCol w:w="676"/>
        <w:gridCol w:w="146"/>
        <w:gridCol w:w="146"/>
        <w:gridCol w:w="403"/>
        <w:gridCol w:w="1097"/>
        <w:gridCol w:w="146"/>
        <w:gridCol w:w="146"/>
        <w:gridCol w:w="257"/>
        <w:gridCol w:w="824"/>
        <w:gridCol w:w="146"/>
        <w:gridCol w:w="146"/>
        <w:gridCol w:w="483"/>
        <w:gridCol w:w="793"/>
        <w:gridCol w:w="5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Quoted</w:t>
            </w:r>
            <w:r>
              <w:rPr>
                <w:rFonts w:ascii="Times New Roman" w:hAnsi="Times New Roman"/>
                <w:color w:val="000000"/>
                <w:sz w:val="20"/>
              </w:rPr>
              <w:t xml:space="preserve"> </w:t>
            </w:r>
            <w:r>
              <w:rPr>
                <w:rFonts w:ascii="Times New Roman" w:hAnsi="Times New Roman"/>
                <w:b/>
                <w:color w:val="000000"/>
                <w:sz w:val="20"/>
              </w:rPr>
              <w:t>Prices</w:t>
            </w:r>
            <w:r>
              <w:rPr>
                <w:rFonts w:ascii="Times New Roman" w:hAnsi="Times New Roman"/>
                <w:color w:val="000000"/>
                <w:sz w:val="20"/>
              </w:rPr>
              <w:t xml:space="preserve"> </w:t>
            </w:r>
            <w:r>
              <w:rPr>
                <w:rFonts w:ascii="Times New Roman" w:hAnsi="Times New Roman"/>
                <w:b/>
                <w:color w:val="000000"/>
                <w:sz w:val="20"/>
              </w:rPr>
              <w:t>in</w:t>
              <w:br/>
              <w:t>Active</w:t>
            </w:r>
            <w:r>
              <w:rPr>
                <w:rFonts w:ascii="Times New Roman" w:hAnsi="Times New Roman"/>
                <w:color w:val="000000"/>
                <w:sz w:val="20"/>
              </w:rPr>
              <w:t xml:space="preserve"> </w:t>
            </w:r>
            <w:r>
              <w:rPr>
                <w:rFonts w:ascii="Times New Roman" w:hAnsi="Times New Roman"/>
                <w:b/>
                <w:color w:val="000000"/>
                <w:sz w:val="20"/>
              </w:rPr>
              <w:t>Markets</w:t>
              <w:br/>
              <w:t>for</w:t>
            </w:r>
            <w:r>
              <w:rPr>
                <w:rFonts w:ascii="Times New Roman" w:hAnsi="Times New Roman"/>
                <w:color w:val="000000"/>
                <w:sz w:val="20"/>
              </w:rPr>
              <w:t xml:space="preserve"> </w:t>
            </w:r>
            <w:r>
              <w:rPr>
                <w:rFonts w:ascii="Times New Roman" w:hAnsi="Times New Roman"/>
                <w:b/>
                <w:color w:val="000000"/>
                <w:sz w:val="20"/>
              </w:rP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88" w:type="dxa"/>
        <w:jc w:val="left"/>
        <w:tblInd w:w="0" w:type="dxa"/>
        <w:tblLayout w:type="fixed"/>
        <w:tblCellMar>
          <w:top w:w="28" w:type="dxa"/>
          <w:left w:w="28" w:type="dxa"/>
          <w:bottom w:w="28" w:type="dxa"/>
          <w:right w:w="28" w:type="dxa"/>
        </w:tblCellMar>
      </w:tblPr>
      <w:tblGrid>
        <w:gridCol w:w="3231"/>
        <w:gridCol w:w="146"/>
        <w:gridCol w:w="211"/>
        <w:gridCol w:w="676"/>
        <w:gridCol w:w="146"/>
        <w:gridCol w:w="146"/>
        <w:gridCol w:w="403"/>
        <w:gridCol w:w="1097"/>
        <w:gridCol w:w="146"/>
        <w:gridCol w:w="146"/>
        <w:gridCol w:w="257"/>
        <w:gridCol w:w="824"/>
        <w:gridCol w:w="146"/>
        <w:gridCol w:w="146"/>
        <w:gridCol w:w="483"/>
        <w:gridCol w:w="793"/>
        <w:gridCol w:w="591"/>
      </w:tblGrid>
      <w:tr>
        <w:trPr/>
        <w:tc>
          <w:tcPr>
            <w:tcW w:w="3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Quoted</w:t>
            </w:r>
            <w:r>
              <w:rPr>
                <w:rFonts w:ascii="Times New Roman" w:hAnsi="Times New Roman"/>
                <w:color w:val="000000"/>
                <w:sz w:val="20"/>
              </w:rPr>
              <w:t xml:space="preserve"> </w:t>
            </w:r>
            <w:r>
              <w:rPr>
                <w:rFonts w:ascii="Times New Roman" w:hAnsi="Times New Roman"/>
                <w:b/>
                <w:color w:val="000000"/>
                <w:sz w:val="20"/>
              </w:rPr>
              <w:t>Prices</w:t>
            </w:r>
            <w:r>
              <w:rPr>
                <w:rFonts w:ascii="Times New Roman" w:hAnsi="Times New Roman"/>
                <w:color w:val="000000"/>
                <w:sz w:val="20"/>
              </w:rPr>
              <w:t xml:space="preserve"> </w:t>
            </w:r>
            <w:r>
              <w:rPr>
                <w:rFonts w:ascii="Times New Roman" w:hAnsi="Times New Roman"/>
                <w:b/>
                <w:color w:val="000000"/>
                <w:sz w:val="20"/>
              </w:rPr>
              <w:t>in</w:t>
              <w:br/>
              <w:t>Active</w:t>
            </w:r>
            <w:r>
              <w:rPr>
                <w:rFonts w:ascii="Times New Roman" w:hAnsi="Times New Roman"/>
                <w:color w:val="000000"/>
                <w:sz w:val="20"/>
              </w:rPr>
              <w:t xml:space="preserve"> </w:t>
            </w:r>
            <w:r>
              <w:rPr>
                <w:rFonts w:ascii="Times New Roman" w:hAnsi="Times New Roman"/>
                <w:b/>
                <w:color w:val="000000"/>
                <w:sz w:val="20"/>
              </w:rPr>
              <w:t>Markets</w:t>
              <w:br/>
              <w:t>for</w:t>
            </w:r>
            <w:r>
              <w:rPr>
                <w:rFonts w:ascii="Times New Roman" w:hAnsi="Times New Roman"/>
                <w:color w:val="000000"/>
                <w:sz w:val="20"/>
              </w:rPr>
              <w:t xml:space="preserve"> </w:t>
            </w:r>
            <w:r>
              <w:rPr>
                <w:rFonts w:ascii="Times New Roman" w:hAnsi="Times New Roman"/>
                <w:b/>
                <w:color w:val="000000"/>
                <w:sz w:val="20"/>
              </w:rPr>
              <w:t>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and December 31, 2025, available-for-sale investments are detailed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4"/>
        <w:gridCol w:w="146"/>
        <w:gridCol w:w="1822"/>
        <w:gridCol w:w="146"/>
        <w:gridCol w:w="239"/>
        <w:gridCol w:w="767"/>
        <w:gridCol w:w="146"/>
        <w:gridCol w:w="146"/>
        <w:gridCol w:w="392"/>
        <w:gridCol w:w="644"/>
        <w:gridCol w:w="146"/>
        <w:gridCol w:w="146"/>
        <w:gridCol w:w="372"/>
        <w:gridCol w:w="664"/>
        <w:gridCol w:w="166"/>
        <w:gridCol w:w="146"/>
        <w:gridCol w:w="290"/>
        <w:gridCol w:w="930"/>
        <w:gridCol w:w="393"/>
      </w:tblGrid>
      <w:tr>
        <w:trPr/>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 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56,505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4"/>
        <w:gridCol w:w="146"/>
        <w:gridCol w:w="1822"/>
        <w:gridCol w:w="146"/>
        <w:gridCol w:w="239"/>
        <w:gridCol w:w="767"/>
        <w:gridCol w:w="146"/>
        <w:gridCol w:w="146"/>
        <w:gridCol w:w="414"/>
        <w:gridCol w:w="622"/>
        <w:gridCol w:w="146"/>
        <w:gridCol w:w="146"/>
        <w:gridCol w:w="392"/>
        <w:gridCol w:w="644"/>
        <w:gridCol w:w="166"/>
        <w:gridCol w:w="146"/>
        <w:gridCol w:w="290"/>
        <w:gridCol w:w="930"/>
        <w:gridCol w:w="393"/>
      </w:tblGrid>
      <w:tr>
        <w:trPr/>
        <w:tc>
          <w:tcPr>
            <w:tcW w:w="2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Contractual 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Market 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33,626</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Municipal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Within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67,944</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212529"/>
          <w:sz w:val="20"/>
        </w:rPr>
      </w:pPr>
      <w:r>
        <w:rPr>
          <w:rFonts w:ascii="Times New Roman" w:hAnsi="Times New Roman"/>
          <w:color w:val="212529"/>
          <w:sz w:val="20"/>
        </w:rPr>
        <w:t>We evaluate our available-for-sale debt securities for credit losses when the amortized cost basis exceeds fair value. The credit-related portion of unrealized losses, and any subsequent improvements, are recorded in interest income through an allowance account. Unrealized gains and losses that are not credit-related are included in accumulated other comprehensive loss. When evaluating an investment for impairment, we review factors such as the severity of the impairment, changes in underlying credit ratings, our intent to sell or the likelihood that we would be required to sell the investment before its anticipated recovery in market value and the probability that the scheduled cash payments will continue to be made. We recorded no allowance for credit losses in the unaudited condensed consolidated statements of operations and comprehensive loss during the three months ended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all available-for-sale investments had a variety of effective maturity dates of less than one year. As of March 31, 2026, 11 out of 18 available-for-sale investments were in a gross unrealized loss position, all of which have held this status for less than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2026 and December 31, 2025, accrued interest receivable on available-for-sale investments was $0.4 million for each period.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 License, Collaboration and Other Agreements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Kyorin Pharmaceutical Co., Ltd.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2020, we entered into a collaboration and license agreement (Kyorin Agreement) with Kyorin Pharmaceutical Co., Ltd. (Kyorin) for the development and commercialization of efzofitimod for the treatment of interstitial lung disease (ILD) in Japan. Under the Kyorin Agreement, Kyorin received an exclusive right to develop and commercialize efzofitimod in Japan for all forms of ILD, and is obligated to fund all research, development, regulatory, marketing and commercialization activities in Japan. In 2020, Kyorin conducted and funded a Phase 1 clinical trial of efzofitimod (known as KRP-R120 in Japan). The Phase 1 clinical trial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has also participated in the EFZO-FIT study as the local sponsor in Japan. In February 2023, Kyorin dosed the first patient in Japan in the EFZO-FIT study which triggered a $10.0 million milestone payment to us. To date, the Kyorin Agreement has generated $20.0 million in upfront and milestone payments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assessed our license and collaboration with Kyorin in accordance with Topic 606 which applies to delivered goods or services to a customer and concluded that Kyorin is a customer. For the three months ended March 31, 2026 and 2025, there were no activities that triggered additional license and collaboration agreement revenue under the Kyorin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12, 2026 we received notice of termination of the Kyorin Agreement with Kyorin. Refer to our discussion of the termination in Note 6 – Subsequent Events.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Commitments and Contingencies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both"/>
        <w:rPr>
          <w:rFonts w:ascii="Times New Roman" w:hAnsi="Times New Roman"/>
          <w:sz w:val="20"/>
        </w:rPr>
      </w:pPr>
      <w:r>
        <w:rPr>
          <w:rFonts w:ascii="Times New Roman" w:hAnsi="Times New Roman"/>
          <w:i/>
          <w:color w:val="000000"/>
          <w:sz w:val="20"/>
        </w:rPr>
        <w:t>Corporate Headquarters Facility Lease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2022, we entered into a non-cancelable facility lease that is subject to base lease payments that started at $5.75 per square foot of rentable area per month for the first 12 months of the lease and which escalate 3.0% annually over the term of the lease, and additional charges for common area maintenance and other costs. The term of the lease (the Lease Term) commenced on March 20, 2023 (the Lease Commencement Date) and will continue for 124 months from the Lease Commencement Date. We also have one option to extend the Lease Term for five years. In April 2024, we entered into a lease amendment for additional common area amenities, effective as of June 2023. The amendment increased the total rentable square feet from 23,696 rentable square feet to 24,866 rentable square feet. We provided a $0.7 million security deposit in the form of a letter of credit which is included in restricted cash as of March 31, 2026.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Future minimum payments under the facility lease and a reconciliation to the operating lease liability as of March 31, 2026 were as follows (in thousands): </w:t>
      </w:r>
    </w:p>
    <w:tbl>
      <w:tblPr>
        <w:tblW w:w="6718" w:type="dxa"/>
        <w:jc w:val="left"/>
        <w:tblInd w:w="0" w:type="dxa"/>
        <w:tblLayout w:type="fixed"/>
        <w:tblCellMar>
          <w:top w:w="28" w:type="dxa"/>
          <w:left w:w="28" w:type="dxa"/>
          <w:bottom w:w="28" w:type="dxa"/>
          <w:right w:w="28" w:type="dxa"/>
        </w:tblCellMar>
      </w:tblPr>
      <w:tblGrid>
        <w:gridCol w:w="4771"/>
        <w:gridCol w:w="146"/>
        <w:gridCol w:w="378"/>
        <w:gridCol w:w="1212"/>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each of the three months ended March 31, 2026 and 2025, we recorded an operating lease expense of $0.4 million. As of March 31, 2026, the weighted-average remaining lease term was 7.3 years and the weighted average discount rate was 8.8%.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Financing Leases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In April 2022, we entered into a master financing lease agreement to lease various research and development and information technology equipment over a 48-month term. Future minimum payments under the financing lease and reconciliation to the financing lease liability as of March 31, 2026 were as follows (in thousands): </w:t>
      </w:r>
    </w:p>
    <w:tbl>
      <w:tblPr>
        <w:tblW w:w="6703" w:type="dxa"/>
        <w:jc w:val="left"/>
        <w:tblInd w:w="0" w:type="dxa"/>
        <w:tblLayout w:type="fixed"/>
        <w:tblCellMar>
          <w:top w:w="28" w:type="dxa"/>
          <w:left w:w="28" w:type="dxa"/>
          <w:bottom w:w="28" w:type="dxa"/>
          <w:right w:w="28" w:type="dxa"/>
        </w:tblCellMar>
      </w:tblPr>
      <w:tblGrid>
        <w:gridCol w:w="4771"/>
        <w:gridCol w:w="146"/>
        <w:gridCol w:w="480"/>
        <w:gridCol w:w="1095"/>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Financing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 representing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financing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financing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March 31, 2026, the weighted-average remaining lease term was 1.0 years and the weighted-average discount rate was 8.4%. As of March 31, 2026, we have a $1.1 million deposit held as collateral for the leased equipment, and this deposit is included in restricted cash.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9, 2025 and October 22, 2025, two substantially similar putative securities class action complaints were filed in the U.S. District Court for the Southern District of California, naming aTyr Pharma, Inc. and our Chief Executive Officer, Sanjay Shukla. The complaints assert that we and Mr. Shukla violated Section 10(b) of the Exchange Act of 1934, as amended (the Exchange Act), and SEC Rule 10b-5, by making materially false or misleading statements related to efzofitimod. The complaints also assert that Mr. Shukla violated Section 20(a) of the Exchange Act. Plaintiffs seek class certification, an award of unspecified damages, and award of reasonable costs and expenses, including attorneys’ fees and expert fees, and further relief as the court may deem just and proper. On February 9, 2026, the court consolidated the two cases and appointed co-lead plaintiffs to oversee the litigation. On May 1, 2026, co-lead plaintiffs filed an Amended Consolidated Complaint.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Amended Consolidated Complaint is based on the same underlying allegations as the original complaints, asserts the same claims and seeks the same relief, and adds our Chief Financial Officer, Jill M. Broadfoot, as a defendant. Under the current schedule, the deadline to respond to the Amended Consolidated Complaint, including by filing a motion to dismiss, is July 17, 2026. Any opposition to a motion to dismiss is due August 28, 2026, with any reply due September 28,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make provisions for liabilities when they are both probable that a liability has been incurred and the amount can be reasonably estimated. No such liability has been recorded related to this matter. With regard to legal fees, such as attorney fees related to this matter or any other legal matters, we recognize such costs as incurred.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Stockholders’ Equity</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At the Market Offering Programs</w:t>
      </w:r>
    </w:p>
    <w:p>
      <w:pPr>
        <w:pStyle w:val="TextBody"/>
        <w:bidi w:val="0"/>
        <w:spacing w:before="120" w:after="283"/>
        <w:jc w:val="both"/>
        <w:rPr>
          <w:rFonts w:ascii="Times New Roman" w:hAnsi="Times New Roman"/>
          <w:sz w:val="20"/>
        </w:rPr>
      </w:pPr>
      <w:r>
        <w:rPr>
          <w:rFonts w:ascii="Times New Roman" w:hAnsi="Times New Roman"/>
          <w:color w:val="000000"/>
          <w:sz w:val="20"/>
        </w:rPr>
        <w:t>In April 2022,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implementing the Jefferies ATM Offering Program. In December 2024, we amended the Jefferies ATM Offering Program. Under the Jefferies ATM Offering Program we may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offer and sell, from time to time and at our option, up to an aggregate of $215.0 million of shares of our common stock (inclusive of $65.0 million of sales made prior to the amendment) through Jefferies, acting as sales agent. Jefferies is entitled to a fixed commission rate of up to 3.0% of the gross sales proceeds of shares sold under the Jefferies ATM Offering Program. We did not utilize the Jefferies ATM Offering Program during the three months ended March 31, 2026. During the year ended December 31, 2025, we sold an aggregate of 13,887,177 shares of common stock at a weighted-average price of $4.94 per share for net proceeds of approximately $66.4 million under the Jefferies ATM Offering Program.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Stock Reserved for Future Issuance</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Common stock reserved for future issuance was as follows:</w:t>
      </w:r>
    </w:p>
    <w:tbl>
      <w:tblPr>
        <w:tblW w:w="6518" w:type="dxa"/>
        <w:jc w:val="left"/>
        <w:tblInd w:w="0" w:type="dxa"/>
        <w:tblLayout w:type="fixed"/>
        <w:tblCellMar>
          <w:top w:w="28" w:type="dxa"/>
          <w:left w:w="28" w:type="dxa"/>
          <w:bottom w:w="28" w:type="dxa"/>
          <w:right w:w="28" w:type="dxa"/>
        </w:tblCellMar>
      </w:tblPr>
      <w:tblGrid>
        <w:gridCol w:w="4741"/>
        <w:gridCol w:w="146"/>
        <w:gridCol w:w="177"/>
        <w:gridCol w:w="1263"/>
        <w:gridCol w:w="1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13,835,392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2015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2022 inducement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available under the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16,882,541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stock option activity under all equity incentive plans for the three months ended March 31, 2026: </w:t>
      </w:r>
    </w:p>
    <w:p>
      <w:pPr>
        <w:pStyle w:val="TextBody"/>
        <w:bidi w:val="0"/>
        <w:jc w:val="left"/>
        <w:rPr/>
      </w:pPr>
      <w:r>
        <w:rPr/>
        <w:t> </w:t>
      </w:r>
    </w:p>
    <w:tbl>
      <w:tblPr>
        <w:tblW w:w="6625" w:type="dxa"/>
        <w:jc w:val="left"/>
        <w:tblInd w:w="0" w:type="dxa"/>
        <w:tblLayout w:type="fixed"/>
        <w:tblCellMar>
          <w:top w:w="28" w:type="dxa"/>
          <w:left w:w="28" w:type="dxa"/>
          <w:bottom w:w="28" w:type="dxa"/>
          <w:right w:w="28" w:type="dxa"/>
        </w:tblCellMar>
      </w:tblPr>
      <w:tblGrid>
        <w:gridCol w:w="3166"/>
        <w:gridCol w:w="146"/>
        <w:gridCol w:w="157"/>
        <w:gridCol w:w="1118"/>
        <w:gridCol w:w="166"/>
        <w:gridCol w:w="146"/>
        <w:gridCol w:w="360"/>
        <w:gridCol w:w="97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Outstanding</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Canceled/forfeited/expired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13,425,988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assumptions used in the Black-Scholes option pricing model to determine the fair value of the employee stock option grants were as follows: </w:t>
      </w:r>
    </w:p>
    <w:tbl>
      <w:tblPr>
        <w:tblW w:w="5380" w:type="dxa"/>
        <w:jc w:val="left"/>
        <w:tblInd w:w="0" w:type="dxa"/>
        <w:tblLayout w:type="fixed"/>
        <w:tblCellMar>
          <w:top w:w="28" w:type="dxa"/>
          <w:left w:w="28" w:type="dxa"/>
          <w:bottom w:w="28" w:type="dxa"/>
          <w:right w:w="28" w:type="dxa"/>
        </w:tblCellMar>
      </w:tblPr>
      <w:tblGrid>
        <w:gridCol w:w="2131"/>
        <w:gridCol w:w="146"/>
        <w:gridCol w:w="1561"/>
        <w:gridCol w:w="146"/>
        <w:gridCol w:w="139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 – 6.08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 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 – 4.5%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 – 106.7%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 – 77.2%</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our restricted stock unit activity under all equity incentive plans for the three months ended March 31, 2026:</w:t>
      </w:r>
    </w:p>
    <w:tbl>
      <w:tblPr>
        <w:tblW w:w="7451" w:type="dxa"/>
        <w:jc w:val="left"/>
        <w:tblInd w:w="0" w:type="dxa"/>
        <w:tblLayout w:type="fixed"/>
        <w:tblCellMar>
          <w:top w:w="28" w:type="dxa"/>
          <w:left w:w="28" w:type="dxa"/>
          <w:bottom w:w="28" w:type="dxa"/>
          <w:right w:w="28" w:type="dxa"/>
        </w:tblCellMar>
      </w:tblPr>
      <w:tblGrid>
        <w:gridCol w:w="2821"/>
        <w:gridCol w:w="146"/>
        <w:gridCol w:w="327"/>
        <w:gridCol w:w="1758"/>
        <w:gridCol w:w="166"/>
        <w:gridCol w:w="146"/>
        <w:gridCol w:w="528"/>
        <w:gridCol w:w="1168"/>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Outstanding</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allocation of stock-based compensation for all options and restricted stock units and stock issued pursuant to our employee stock purchase plan is as follows (in thousands):</w:t>
      </w:r>
    </w:p>
    <w:tbl>
      <w:tblPr>
        <w:tblW w:w="6576" w:type="dxa"/>
        <w:jc w:val="left"/>
        <w:tblInd w:w="0" w:type="dxa"/>
        <w:tblLayout w:type="fixed"/>
        <w:tblCellMar>
          <w:top w:w="28" w:type="dxa"/>
          <w:left w:w="28" w:type="dxa"/>
          <w:bottom w:w="28" w:type="dxa"/>
          <w:right w:w="28" w:type="dxa"/>
        </w:tblCellMar>
      </w:tblPr>
      <w:tblGrid>
        <w:gridCol w:w="3451"/>
        <w:gridCol w:w="146"/>
        <w:gridCol w:w="317"/>
        <w:gridCol w:w="858"/>
        <w:gridCol w:w="219"/>
        <w:gridCol w:w="219"/>
        <w:gridCol w:w="317"/>
        <w:gridCol w:w="858"/>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12, 2026, we received notice of termination of the Kyorin Agreement with Kyorin. Kyorin elected to terminate the Kyorin Agreement without cause in accordance with the terms of the Kyorin Agreement, and the termination will become effective 90 days after the date of receipt of the notice of termination (the Termination Date). Under the terms of the Kyorin Agreement, Kyorin received exclusive rights to develop and commercialize efzofitimod in Japan for all forms of interstitial lung disease and is obligated to fund all research, development, regulatory, marketing and commercialization activities in Japan until the Termination Date. We are responsible for supplying all drug product for Japan, as well as supporting development activities for efzofitimod, until the Termination Date. As a result of the termination of the Kyorin Agreement, we will not be entitled to receive any further milestone or other payments, including $155.0 million in the aggregate that would have been due upon achievement of certain development, regulatory and sales milestones, as well as tiered royalties on any net sales in Japan. Both parties will also cease to have any development or commercialization obligations after the Termination Date and the licenses we granted to Kyorin pursuant to the Kyorin Agreement will cease to be in effect after the Termination Date. Following the Termination Date, the rights to develop and commercialize efzofitimod in Japan for all forms of ILD will revert to us. Consequently, we will hold the rights to develop and commercialize efzofitimod globally.</w:t>
      </w:r>
    </w:p>
    <w:p>
      <w:pPr>
        <w:pStyle w:val="TextBody"/>
        <w:bidi w:val="0"/>
        <w:spacing w:before="240" w:after="283"/>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should be read in conjunction with our unaudited condensed consolidated financial statements and accompanying notes included in this Quarterly Report on Form 10-Q (Quarterly Report), our audited consolidated financial statements and accompanying notes thereto for the fiscal year ended December 31, 2025 and the related Management’s Discussion and Analysis of Financial Condition and Results of Operations, which are contained in our Annual Report on Form 10-K for the year ended December 31, 2025, filed with the Securities and Exchange Commission (SEC), on March 5, 2026 (2025 Annual Report).</w:t>
      </w:r>
      <w:r>
        <w:rPr>
          <w:rFonts w:ascii="Times New Roman" w:hAnsi="Times New Roman"/>
          <w:color w:val="000000"/>
          <w:sz w:val="20"/>
        </w:rPr>
        <w:t xml:space="preserve">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This Quarterly Report contains “forward-looking statements” within the meaning of Section 27A of the Securities Act of 1933, as amended, (the Securities Act), and Section 21E of the Securities Exchange Act of 1934, as amended (the Exchange Act). Such forward 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Part II, Item 1A, and elsewhere in this Quarterly Report. Except as required by law, we undertake no obligation to update these forward-looking statements to reflect events or circumstances after the date of this Quarterly Report or to reflect actual outcomes.</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Our discovery platform is focused on unlocking hidden therapeutic intervention points by uncovering signaling pathways driven by our proprietary library of domains derived from all 20 tRNA synthetases.</w:t>
      </w:r>
    </w:p>
    <w:p>
      <w:pPr>
        <w:pStyle w:val="TextBody"/>
        <w:bidi w:val="0"/>
        <w:spacing w:before="240" w:after="283"/>
        <w:jc w:val="both"/>
        <w:rPr>
          <w:rFonts w:ascii="Times New Roman" w:hAnsi="Times New Roman"/>
          <w:sz w:val="20"/>
        </w:rPr>
      </w:pPr>
      <w:r>
        <w:rPr>
          <w:rFonts w:ascii="Times New Roman" w:hAnsi="Times New Roman"/>
          <w:i/>
          <w:color w:val="000000"/>
          <w:sz w:val="20"/>
        </w:rPr>
        <w:t>Efzofitimod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lead therapeutic candidate is efzofitimod, a novel biologic immunomodulator in clinical development for the treatment of interstitial lung disease (ILD), a group of immune-mediated disorders that can cause inflammation and fibrosis, or scarring, of the lungs. Efzofitimod is a tRNA synthetase derived therapy that selectively modulates activated myeloid cells through neuropilin-2 (NRP2) to resolve aberrant inflammation without immune suppression and potentially prevent the progression of fibrosis. ILDs are predominantly immune-mediated disorders that are characterized by chronic inflammation, which can lead to progressive fibrosis of the lung. There are limited treatment options for ILD and there remains a high unmet medical need. Sarcoidosis and systemic sclerosis (SSc, also known as scleroderma)-associated ILD (SSc-ILD) are two major forms of ILD. The U.S. Food and Drug Administration (FDA) has granted efzofitimod orphan drug designations for the treatment of sarcoidosis and for the treatment of SSc, and Fast Track designations for the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treatment of pulmonary sarcoidosis and for the treatment of SSc-ILD. The European Commission has granted efzofitimod orphan drug designations for the treatment of sarcoidosis and for the treatment of SSc, based on the opinion of the European Medicines Agency (EMA) Committee for Orphan Medicinal Products (COMP).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September 2025, we announced top-line data from a global Phase 3 randomized, double-blind, placebo-controlled clinical trial to evaluate the efficacy and safety of efzofitimod in patients with pulmonary sarcoidosis (the EFZO-FIT study). The EFZO-FIT study was a 52-week study in 268 patients with pulmonary sarcoidosis consisting of three parallel cohorts randomized equally to either 3.0 mg/kg or 5.0 mg/kg of efzofitimod or placebo dosed intravenously once every four weeks for a total of 12 doses, with a 4-week safety follow-up. The study design incorporated a protocol guided steroid taper in the first 12 weeks of the study, followed by continued taper or rescue until week 48. The study did not meet its primary endpoint of change from baseline in mean daily oral corticosteroid (OCS) dose at week 48. The change from baseline in mean daily OCS dose reduced to an average of 2.79 mg for 5.0 mg/kg efzofitimod vs 3.52 mg for placebo (p=0.3313). The study’s statistical analysis plan was designed on a hierarchical assessment basis, as such since the primary endpoint was not met, all subsequent statistical testing is reported as nominal findings. The study demonstrated a clinically meaningful improvement in the King’s Sarcoidosis Questionnaire (KSQ)-Lung score at week 48 for 5.0 mg/kg efzofitimod compared to placebo (p=0.0479), with a responder analysis of patients who achieved complete steroid withdrawal at week 48 with an improved KSQ-Lung score also showing improvement in patients treated with 5.0 mg/kg efzofitimod compared to placebo (p=0.0196). Lung function as measured by forced vital capacity (FVC) at week 48 was maintained in all groups. Efzofitimod was generally well-tolerated at both the 3.0 mg/kg and 5.0 mg/kg doses, consistent with previously observed safety profile in all trials conducted to date. At the European Respiratory Society (ERS) Congress in late September 2025, we announced additional findings from the EFZO-FIT study, including analyses of additional pre-specified outcomes that demonstrated clinical improvements in mean change from baseline in the Fatigue Assessment (FAS) Total Score (p=0.0226) and KSQ-General Health score (p=0.0197) in patients treated with 5.0 mg/kg efzofitimod versus placebo. Treatment with efzofitimod was also associated with a trend toward a greater proportion of patients achieving steroid-free status for at least six months. Based on the trial findings, which we believe indicate drug activity for efzofitimod as evidenced by improvements across multiple clinically relevant efficacy endpoints, we held a Type C meeting with the FDA in mid-April 2026 to review the results of the EFZO-FIT study and determine the path forward for efzofitimod in pulmonary sarcoidosis. In May 2026, we received the official meeting minutes from the FDA.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feedback from the FDA, we plan to continue the development of efzofitimod in pulmonary sarcoidosis in a planned Phase 3 study in patients with chronic, symptomatic pulmonary sarcoidosis with restrictive lung disease utilizing FVC as the primary endpoint of the study and the KSQ-Lung score as the key secondary endpoint. We chose these endpoints based on the FDA’s indication that FVC and KSQ-Lung are direct measures of how patients suffering from pulmonary sarcoidosis function and feel, and we concluded FVC to be a more appropriate primary endpoint at this time pending further content validation work for KSQ-Lung as recommended by the FDA. We determined the patient population for the study, those with restrictive lung disease, based on data from the EFZO-FIT study which included 44 patients with restrictive lung disease (defined as FVC percent predicted ≤ 80%) and showed a difference of 124 ml in change from baseline in FVC between restrictive patients treated with 5.0 mg/kg efzofitimod and placebo.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discussion with the FDA regarding the benefit risk profile for efzofitimod, we plan to increase the frequency of dosing of 5.0 mg/kg efzofitimod or placebo from once every four weeks in past trials to once every three weeks in this next trial. We are choosing the dosing regimen based on the FDA’s acknowledgment of its reasonableness from a clinical pharmacology perspective, subject to inclusion of adequate safety monitoring and risk mitigation procedures. We plan to include additional risk mitigation strategies, enhanced safety surveillance for the potential development of anti-synthetase syndrome and a data safety monitoring committee. We plan to submit an investigational new drug (IND) application for this study in June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Phase 3 trial is expected to be a global, randomized, double-blind, placebo-controlled study to evaluate the efficacy and safety of efzofitimod in patients with moderate to severe pulmonary sarcoidosis. The 54-week study will consist of two parallel cohorts randomized equally to either 5.0 mg/kg efzofitimod or placebo dosed intravenously once every 3 weeks for a total of 17 doses. The study is intended to enroll up to approximately 372 patients with symptomatic pulmonary sarcoidosis with restrictive lung disease who are receiving a stable dose of ≤ 5.0 mg daily oral corticosteroid and/or a background immunosuppressant. All background treatment will remain stable throughout the duration of the study. The primary endpoint of the study will be change from baseline in FVC at week 48 and the key secondary endpoint will be change from baseline in the KSQ-Lung score at week 48. This planned Phase 3 study and any potential need for additional clinical studies for efzofitimod in pulmonary sarcoidosis, will require a significant amount of additional time and resources to support approval. In addition, it will require us to obtain additional capital through equity offerings or partnering to conduct such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believe efzofitimod has potential applications in the treatment of other ILDs, such as chronic hypersensitivity pneumonitis (CHP) and connective tissue disease related ILD (CTD-ILD), including SSc-ILD and rheumatoid arthritis-associated ILD. As such, we designed a focused Phase 2 proof-of-concept clinical trial of efzofitimod (the EFZO-CONNECT study) in patients with SSc-ILD. The EFZO-CONNECT study is a randomized, double-blind placebo-controlled proof-of-concept study to evaluate the efficacy, safety and tolerability of efzofitimod in patients with SSc-ILD. This is a 28-week study with three parallel cohorts randomized 2:2:1 to either 270 mg or 450 mg of efzofitimod or placebo dosed intravenously monthly for a total of six doses. The study intends to enroll up to 25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patients at multiple centers in the United States. The objective of the study is to evaluate the efficacy of multiple doses of IV efzofitimod on pulmonary, cutaneous (limited or diffuse) and systemic manifestations in patients with SSc-ILD. The primary endpoint is reduction in FVC. Secondary endpoints include certain measures regarding safety and tolerability. In July 2024, we amended the study to add an open-label extension (OLE) to patients. Patients who complete the study and wish to receive ongoing treatment with efzofitimod are eligible to participate in the 24-week OLE. In June 2025, we announced interim data from the study showing three out of four efzofitimod-treated diffuse SSc-ILD patients showed clinically important improvement based on the modified Rodnan Skin Score (mRSS) assessment at 12 weeks and that efzofitimod was generally well-tolerated at all doses. We expect to complete enrollment of the study in the first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2020, we entered into a collaboration and license agreement (Kyorin Agreement) with Kyorin for the development and commercialization of efzofitimod for the treatment of ILD in Japan. Under the terms of the Kyorin Agreement, Kyorin received exclusive rights to develop and commercialize efzofitimod in Japan for all forms of ILD, and is obligated to fund all research, development, regulatory, marketing and commercialization activities in Japan. We are responsible for supplying all drug product for Japan, as well as supporting development activities for efzofitimod. In 2020, Kyorin conducted and funded a Phase 1 clinical trial of efzofitimod (known as KRP-R120 in Japan). The Phase 1 clinical trial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has also participated in the EFZO-FIT study as the local sponsor in Japan. In February 2023, Kyorin dosed the first patient in Japan in the EFZO-FIT study which triggered a $10.0 million milestone payment to us. To date, the Kyorin Agreement has generated $20.0 million in upfront and milestone payments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12, 2026, we received notice of termination of the Kyorin Agreement with Kyorin. Kyorin elected to terminate the Kyorin Agreement without cause in accordance with the terms of the Kyorin Agreement, and the termination will become effective 90 days after the date of receipt of the notice of termination (the Termination Date). Under the terms of the Kyorin Agreement, Kyorin received exclusive rights to develop and commercialize efzofitimod in Japan for all forms of interstitial lung disease and is obligated to fund all research, development, regulatory, marketing and commercialization activities in Japan until the Termination Date. We are responsible for supplying all drug product for Japan, as well as supporting development activities for efzofitimod, until the Termination Date. As a result of the termination of the Kyorin Agreement, we will not be entitled to receive any further milestone or other payments, including $155.0 million in the aggregate that would have been due upon achievement of certain development, regulatory and sales milestones, as well as tiered royalties on any net sales in Japan. Both parties will also cease to have any development or commercialization obligations after the Termination Date and the licenses we granted to Kyorin pursuant to the Kyorin Agreement will cease to be in effect after the Termination Date. Following the Termination Date, the rights to develop and commercialize efzofitimod in Japan for all forms of ILD will revert to us. Consequently, we will hold the rights to develop and commercialize efzofitimod globally.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Discovery Platform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efzofitimod as a model, we have developed a process to advance novel tRNA synthetase domains from a concept to therapeutic candidate. This process leverages our early discovery work as well as current scientific understanding of tRNA synthetase evolution,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and external collaboration efforts.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tRNA Synthetase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Utilizing our novel approach, we have identified target receptors for domains of two additional tRNA synthetases, gaining insights into their potential biological activity in immunology and fibrosis. These fragments form the basis of our additional pipeline candidates. We plan to further elucidate the therapeutic potential of these candidates through mechanistic investigations, including </w:t>
      </w:r>
      <w:r>
        <w:rPr>
          <w:rFonts w:ascii="Times New Roman" w:hAnsi="Times New Roman"/>
          <w:i/>
          <w:color w:val="000000"/>
          <w:sz w:val="20"/>
        </w:rPr>
        <w:t xml:space="preserve">in vitro </w:t>
      </w:r>
      <w:r>
        <w:rPr>
          <w:rFonts w:ascii="Times New Roman" w:hAnsi="Times New Roman"/>
          <w:color w:val="000000"/>
          <w:sz w:val="20"/>
        </w:rPr>
        <w:t xml:space="preserve">and </w:t>
      </w:r>
      <w:r>
        <w:rPr>
          <w:rFonts w:ascii="Times New Roman" w:hAnsi="Times New Roman"/>
          <w:i/>
          <w:color w:val="000000"/>
          <w:sz w:val="20"/>
        </w:rPr>
        <w:t>in vivo</w:t>
      </w:r>
      <w:r>
        <w:rPr>
          <w:rFonts w:ascii="Times New Roman" w:hAnsi="Times New Roman"/>
          <w:color w:val="000000"/>
          <w:sz w:val="20"/>
        </w:rPr>
        <w:t xml:space="preserve"> preclinical studies.</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ATYR0101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ATYR0101 is a fusion protein derived from a domain of aspartyl-tRNA synthetase (DARS) that is engineered with a human Fc region to extend its serum half-life. The molecule possesses a unique mechanism of action focused on the selective elimination of activated myofibroblasts, which are the primary cellular drivers of pathological extracellular matrix (ECM) deposition in fibrotic diseases. ATYR0101 specifically targets Latent TGF-β Binding Protein-1 (LTBP-1) within the ECM, binding to a region that encompasses the fibrillin-1 binding domain at the C-terminus. LTBP-1 serves a dual role in matrix architecture by organizing structural proteins and modulating the signaling of Transforming Growth Factor-beta (TGF-β) through a complex mechanosensory apparatus. Early data suggest ATYR0101 exerts its antifibrotic effects by inducing apoptosis of myofibroblasts in a TGFβ dependent manner. We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believe ATYR0101 may have broad therapeutic applications in multiple fibrotic diseases, such as pulmonary fibrosis, SSc, liver fibrosis and kidney fibrosis.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ATYR0750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ATYR0750 is a fusion protein derived from a domain of alanyl-tRNA synthetase (AARS). ATYR0750 is a novel ligand to fibroblast growth factor receptor 4 (FGFR4), which is involved in many cellular processes, including cell proliferation, differentiation, and tissue repair. FGFR4 is known to play a role in diseases related to inflammation and fibrosis, particularly in the liver. As a novel ligand, ATYR0750 interacts with FGFR4 in a differentiated way to other approaches targeting the receptor, which may lead to improved therapeutic benefit.</w:t>
      </w:r>
    </w:p>
    <w:p>
      <w:pPr>
        <w:pStyle w:val="TextBody"/>
        <w:bidi w:val="0"/>
        <w:spacing w:before="24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losses and negative cash flows from operations since our inception. As of March 31, 2026, we had an accumulated deficit of $617.0 million, and we expect to continue to incur net losses for the foreseeable future. As of March 31, 2026, we had cash, cash equivalents, restricted cash and available-for-sale investments of $68.3 million. We believe that our current cash, cash equivalents, restricted cash and available-for-sale investments, will be sufficient to meet our material cash requirements from known contractual and other obligations for a period of at least one year from the date of this Quarterly Report. In addition to the factors discussed under “Material Cash Requirements,” our ability to fund our longer-term operating needs, including the completion of a planned Phase 3 trial for efzofitimod in pulmonary sarcoidosis, will depend on our ability to raise additional funding through equity or debt offerings, grant funding, collaborations, strategic partnerships and/or licensing arrangements, and other factors, including those discussed in Part I, Item 1A. “Risk Factors—Risks related to our financial condition and need for additional capital—We will need to raise additional capital or enter into strategic partnering relationships to fund our operations.”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Sources of Cash</w:t>
      </w:r>
    </w:p>
    <w:p>
      <w:pPr>
        <w:pStyle w:val="TextBody"/>
        <w:bidi w:val="0"/>
        <w:spacing w:before="120" w:after="283"/>
        <w:jc w:val="both"/>
        <w:rPr>
          <w:rFonts w:ascii="Times New Roman" w:hAnsi="Times New Roman"/>
          <w:sz w:val="20"/>
        </w:rPr>
      </w:pPr>
      <w:r>
        <w:rPr>
          <w:rFonts w:ascii="Times New Roman" w:hAnsi="Times New Roman"/>
          <w:color w:val="000000"/>
          <w:sz w:val="20"/>
        </w:rPr>
        <w:t>From our inception through March 31, 2026, we have financed our operations primarily through the sale of equity securities and convertible debt, venture debt, term loans and through license and collaboration agreement revenues. In recent years, we have relied primarily on our “at-the-market” offering program (the Jefferies ATM Offering Program) implemented through our Open Market Sale Agreement</w:t>
      </w:r>
      <w:r>
        <w:rPr>
          <w:rFonts w:ascii="Times New Roman" w:hAnsi="Times New Roman"/>
          <w:color w:val="000000"/>
          <w:sz w:val="13"/>
        </w:rPr>
        <w:t>SM</w:t>
      </w:r>
      <w:r>
        <w:rPr>
          <w:rFonts w:ascii="Times New Roman" w:hAnsi="Times New Roman"/>
          <w:color w:val="000000"/>
          <w:sz w:val="20"/>
        </w:rPr>
        <w:t xml:space="preserve"> with Jefferies LLC (Jefferies) for financing our activities. Given ongoing volatility in capital markets generally, the price of our common stock has fluctuated materially since the start of 2025 and, since the announcement of top-line data from the EFZO-FIT study particularly, we have experienced a material decline in our stock price. If markets remain volatile or our stock price continues to remain depressed, this may negatively affect our ability to generate cash from financing activities in future periods, including negatively affecting our ability to generate sufficient funds through our Jefferies ATM Offering Program.</w:t>
      </w:r>
    </w:p>
    <w:p>
      <w:pPr>
        <w:pStyle w:val="TextBody"/>
        <w:bidi w:val="0"/>
        <w:spacing w:before="240" w:after="283"/>
        <w:jc w:val="both"/>
        <w:rPr>
          <w:rFonts w:ascii="Times New Roman" w:hAnsi="Times New Roman"/>
          <w:sz w:val="20"/>
        </w:rPr>
      </w:pPr>
      <w:r>
        <w:rPr>
          <w:rFonts w:ascii="Times New Roman" w:hAnsi="Times New Roman"/>
          <w:i/>
          <w:color w:val="000000"/>
          <w:sz w:val="20"/>
        </w:rPr>
        <w:t>At-the-Market Offering Programs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In April 2022,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implementing the Jefferies ATM Offering Program. In December 2024, we amended the Jefferies ATM Offering Program. Under the Jefferies ATM Offering Program, we may offer and sell, from time to time and at our option, up to an aggregate of $215.0 million of shares of our common stock (inclusive of $65.0 million of sales made prior to the amendment) through Jefferies, acting as sales agent. Jefferies is entitled to a fixed commission rate of up to 3.0% of the gross sales proceeds of shares sold under the Jefferies ATM Offering Program. We did not utilize the Jefferies ATM Offering Program during the three months ended March 31, 2026. During the year ended December 31, 2025, we sold an aggregate of 13,887,177 shares of common stock at a weighted-average price of $4.94 per share for net proceeds of approximately $66.4 million under the Jefferies ATM Offering Program.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a summary of the net cash flow activity for each of the periods indicated (in thousands):</w:t>
      </w:r>
    </w:p>
    <w:p>
      <w:pPr>
        <w:pStyle w:val="TextBody"/>
        <w:bidi w:val="0"/>
        <w:jc w:val="left"/>
        <w:rPr/>
      </w:pPr>
      <w:r>
        <w:rPr/>
        <w:t> </w:t>
      </w:r>
    </w:p>
    <w:tbl>
      <w:tblPr>
        <w:tblW w:w="7981" w:type="dxa"/>
        <w:jc w:val="left"/>
        <w:tblInd w:w="0" w:type="dxa"/>
        <w:tblLayout w:type="fixed"/>
        <w:tblCellMar>
          <w:top w:w="28" w:type="dxa"/>
          <w:left w:w="28" w:type="dxa"/>
          <w:bottom w:w="28" w:type="dxa"/>
          <w:right w:w="28" w:type="dxa"/>
        </w:tblCellMar>
      </w:tblPr>
      <w:tblGrid>
        <w:gridCol w:w="4636"/>
        <w:gridCol w:w="146"/>
        <w:gridCol w:w="266"/>
        <w:gridCol w:w="931"/>
        <w:gridCol w:w="210"/>
        <w:gridCol w:w="184"/>
        <w:gridCol w:w="266"/>
        <w:gridCol w:w="931"/>
        <w:gridCol w:w="41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Net cash used in operating activities for the three months ended March 31, 2026 and 2025 was $12.5 million and $15.4 million, respectively. The net cash used during the three months ended March 31, 2026 was primarily attributable to costs for efzofitimod development, which includes certain close-out costs relating to the EFZO-FIT study as well as ongoing costs for the EFZO-CONNECT study, as well as discovery costs for our preclinical product candidates. The net cash used during the three months ended March 31, 2025 was primarily for efzofitimod development, including pre-commercialization activities and manufacturing costs incurred prior to the announcement of top-line data from the EFZO-FIT study. We expect cash used in operating activities will fluctuate and be dependent upon our ability to obtain additional capital through equity offerings or partnering to enable us to conduct the planned Phase 3 study for efzofitimod in pulmonary sarcoidosis. </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Net cash provided by (used in) investing activities for the three months ended March 31, 2026 and 2025 was $11.5 million and $(4.4) million, respectively. The fluctuation in net cash provided by or used in investing activities resulted primarily from the timing differences in investment purchases, sales and maturities, and the fluctuation of our portfolio mix between cash equivalents and investment holdings. The average term to maturity in our investment portfolio is less than one year.</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Net cash (used in) provided by financing activities for the three months ended March 31, 2026 and 2025 was $(0.1) million and $18.6 million, respectively. Net cash used in financing activities for the three months ended March 31, 2026 primarily consisted of principal payments on our financing lease agreement. Net cash provided by financing activities for the three months ended March 31, 2025 primarily consisted of $18.8 million in proceeds from the issuance of common stock through the Jefferies ATM Offering Program, net of offering costs.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generated any revenues from product sales. Our expenses may increase in connection with the potential advancement of efzofitimod in clinical development, manufacturing, and regulatory activities, and the continuation of our research and development activities with respect to other potential therapies based on tRNA synthetase biology and the seeking of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minimal sales and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Refer to Part I, Item 1A, "Risk Factors - Risks related to our financial condition and need for additional capital—We will need to raise additional capital or enter into strategic partnering relationships to fund our operations.” for a discussion of these factors.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revenues, we expect to finance our cash needs through a combination of equity offerings, grant funding, collaborations, strategic partnerships and/or licensing arrangements, and when we are closer to commercialization of our product candidates potentially through debt financings.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If the equity and credit markets deteriorate, it may make any necessary debt or equity financing more difficult, more costly and more dilutive.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March 31, 2026, our material cash requirements from known contractual and other obligations consisted primarily of (i) an operating lease for our corporate headquarters and laboratory space, and (ii) our master financing lease agreement for various research and development and informational technology equipment.</w:t>
      </w:r>
    </w:p>
    <w:p>
      <w:pPr>
        <w:pStyle w:val="TextBody"/>
        <w:bidi w:val="0"/>
        <w:spacing w:before="240" w:after="283"/>
        <w:jc w:val="both"/>
        <w:rPr>
          <w:rFonts w:ascii="Times New Roman" w:hAnsi="Times New Roman"/>
          <w:sz w:val="20"/>
        </w:rPr>
      </w:pPr>
      <w:r>
        <w:rPr>
          <w:rFonts w:ascii="Times New Roman" w:hAnsi="Times New Roman"/>
          <w:i/>
          <w:color w:val="000000"/>
          <w:sz w:val="20"/>
        </w:rPr>
        <w:t>Corporate Headquarters Facility Lease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2022, we entered into a non-cancelable facility lease that is subject to base lease payments that started at $5.75 per square foot of rentable area per month for the first 12 months of the lease and which escalate 3.0% annually over the term of the lease, and additional charges for common area maintenance and other costs. The term of the lease (the Lease Term) commenced on March 20, 2023 (the Lease Commencement Date) and will continue for 124 months from the Lease Commencement Date. We also have one option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extend the Lease Term for five years. In April 2024, we entered into a lease amendment for additional common area amenities, effective as of June 2023. The amendment increased the total rentable square feet from 23,696 rentable square feet to 24,866 rentable square feet. We provided a $0.7 million security deposit in the form of a letter of credit which is included in restricted cash as of March 31, 2026.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Financing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2022, we entered into a financing lease to lease various research and development and information technology equipment over a 48-month term. Financing lease liabilities total $0.7 million as of March 31, 2026. Additionally, as of March 31, 2026, we have $1.1 million in cash collateral for the financing lease, and this amount is included in restricted cash.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have any off-balance sheet arrangements as of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sz w:val="20"/>
        </w:rPr>
      </w:pPr>
      <w:r>
        <w:rPr>
          <w:rFonts w:ascii="Times New Roman" w:hAnsi="Times New Roman"/>
          <w:b/>
          <w:i/>
          <w:color w:val="000000"/>
          <w:sz w:val="20"/>
        </w:rPr>
        <w:t>Organization and Business; Principles of Consolidation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 substantially all of our activities through aTyr Pharma, Inc., a Delaware corporation, at our facility in San Diego, California. aTyr Pharma, Inc. was incorporated in the State of Delaware in September 2005. The unaudited condensed consolidated financial statements in this Quarterly Report include our accounts and our 98% majority-owned subsidiary in Hong Kong, Pangu BioPharma, as of March 31, 2026. All intercompany transactions and balances are eliminated in consolidation.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2020, we entered into the Kyorin Agreement with Kyorin for the development and commercialization of efzofitimod for the treatment of ILD in Japan. Under the terms of the Kyorin Agreement, Kyorin received exclusive rights to develop and commercialize efzofitimod in Japan for all forms of ILD, and Kyorin is obligated to fund all research, development, regulatory, marketing and commercialization activities in Japan. We are responsible for supplying all drug product for Japan, as well as supporting development activities for efzofitimod. In 2020, Kyorin conducted and funded a Phase 1 clinical trial of efzofitimod (known as KRP-R120 in Japan). The Phase 1 clinical trial, which was conducted and funded by Kyorin, was a placebo-controlled clinical trial to evaluate the safety, PK and immunogenicity of efzofitimod in 32 healthy Japanese male volunteers. Efzofitimod was observed to be generally well-tolerated with no drug-related serious adverse events and PK findings were consistent with previous studies of efzofitimod. Kyorin has also participated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As mentioned under the caption “Overview” above, we will cease to have any development or commercialization obligations under the Kyorin Agreement after the Termination Date, and we will not be entitled to receive any further milestone or other payments after the Termination Date.</w:t>
      </w:r>
    </w:p>
    <w:p>
      <w:pPr>
        <w:pStyle w:val="TextBody"/>
        <w:bidi w:val="0"/>
        <w:spacing w:before="240" w:after="283"/>
        <w:jc w:val="left"/>
        <w:rPr>
          <w:rFonts w:ascii="Times New Roman" w:hAnsi="Times New Roman"/>
          <w:b/>
          <w:i/>
          <w:color w:val="000000"/>
          <w:sz w:val="20"/>
        </w:rPr>
      </w:pPr>
      <w:bookmarkStart w:id="11" w:name="m_2068434224989113301__aeioulastrendered"/>
      <w:bookmarkEnd w:id="11"/>
      <w:r>
        <w:rPr>
          <w:rFonts w:ascii="Times New Roman" w:hAnsi="Times New Roman"/>
          <w:b/>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our research and development expenses have been related primarily to the development of, and clinical trials for, our product candidates, and to research efforts targeting the potential therapeutic application of other tRNA synthetase-based immunomodulators. These expenses consist primarily of: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salaries and employee-related expenses, including stock-based compensation and benefits for personnel in research and product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conducting our preclinical, development and regulatory activities, including fees paid to third-party professional consultants, service providers and our scientific, therapeutic and clinical advisory board;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acquire, develop and manufacture preclinical study and clinical trial materials and to support biologics license application (BLA) filing activities with contracted development and manufacturing organizations (CDMOs);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support our pre-commercialization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incurred under clinical trial agreements with CROs and investigative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for laboratory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allocated facilities, depreciation and other allocable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Product candidates in later stages of clinical development, such as efzofitimod, generally have higher development costs than those in earlier stages of clinical development, primarily due to the increased size and duration of later-stage clinical trials. We primarily outsource our clinical trial administration to CROs, and we outsource our manufacturing of clinical trial materials to CDMOs. These outsourced expenses are typically substantially higher than the expenses we incur on our other product candidates which are all currently in preclinical development. As such, we separately track and report on the majority of our research and development expenses associated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with the advancement of efzofitimod. For our candidates in preclinical development, the nature of the research and development expenses incurred to advance these candidates is primarily internal personnel and laboratory supply expenses. We do not fully track or allocate these internal expenses between preclinical product candidates because the expenses can often be shared between candidates. We also incur other shared expenses to support our research and development efforts such as facilities expenses, and these expenses are not allocated to efzofitimod or our preclinical product candidates. Additionally, non-cash research and development expenses such as depreciation and stock-based compensation are not tracked or allocated between product candidates and are shared among all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our research and development expenses will fluctuate and be dependent upon our ability to obtain additional capital through equity offerings or partnering to enable us to complete the planned Phase 3 study for efzofitimod in pulmonary sarcoidosis. 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related costs for employees in executive, finance and administration, pre-commercialization,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is based on our unaudited condensed consolidated financial statements, which have been prepared in accordance with accounting principles generally accepted in the United States.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discuss our accounting policies and assumptions that involve a higher degree of judgment and complexity within Note 2 to our audited consolidated financial statements in our 2025 Annual Report. There have been no material changes to our critical accounting policies and estimates as disclosed in our 2025 Annual Report.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for the three months ended March 31, 2026 and 2025 (in thousands):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46"/>
        <w:gridCol w:w="446"/>
        <w:gridCol w:w="283"/>
        <w:gridCol w:w="766"/>
        <w:gridCol w:w="195"/>
        <w:gridCol w:w="195"/>
        <w:gridCol w:w="283"/>
        <w:gridCol w:w="907"/>
        <w:gridCol w:w="146"/>
        <w:gridCol w:w="146"/>
        <w:gridCol w:w="245"/>
        <w:gridCol w:w="733"/>
        <w:gridCol w:w="314"/>
      </w:tblGrid>
      <w:tr>
        <w:trPr/>
        <w:tc>
          <w:tcPr>
            <w:tcW w:w="55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(Decrease)</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Efzofitimod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Preclinical development and other shared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expenses (depreciation and stock-based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were $7.3 million and $11.8 million for the three months ended March 31, 2026 and 2025, respectively. The decrease of $4.5 million was primarily driven by a reduction in efzofitimod expenses for the EFZO-FIT study since it was completed in September 2025 as well as decreased manufacturing costs due to the timing of certain manufacturing activities being completed. Preclinical development and other shared research and development expenses increased by $0.8 million, and was primarily attributable to increase in discovery costs for our preclinical product candidates. Non-cash expenses was consistent as compared to prior year period. We anticipate that our research and development expenses will fluctuate and be dependent upon our ability to obtain additional capital through equity offerings or partnering to enable us to complete the planned Phase 3 study for efzofitimod in pulmonary sarcoidosis.</w:t>
      </w:r>
    </w:p>
    <w:p>
      <w:pPr>
        <w:pStyle w:val="TextBody"/>
        <w:bidi w:val="0"/>
        <w:spacing w:before="18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expenses were $4.1 million and $4.0 million for the three months ended March 31, 2026 and 2025, respectively. Other general and administrative expenses were consistent as compared to prior year period. Non-cash expenses increased by $0.1 million primarily due to increased non-cash stock-based compensation expenses. </w:t>
      </w:r>
    </w:p>
    <w:p>
      <w:pPr>
        <w:pStyle w:val="TextBody"/>
        <w:bidi w:val="0"/>
        <w:spacing w:before="180" w:after="283"/>
        <w:jc w:val="both"/>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Other income (expense), net was $0.6 million and $0.9 million for the three months ended March 31, 2026 and 2025, respectively. The change was primarily a result of lower interest rates and lower interest earned on lower cash balances as compared to the same period in the prior year.</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discussion of recently issued accounting pronouncements, refer to Part I, Item 1, Notes to Condensed Consolidated Financial Statements (Unaudited) – Note 1 – Recent Accounting Pronouncements of this Quarterly Report.</w:t>
      </w:r>
    </w:p>
    <w:p>
      <w:pPr>
        <w:pStyle w:val="TextBody"/>
        <w:bidi w:val="0"/>
        <w:jc w:val="both"/>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are required to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in reaching a reasonable level of assurance, management necessarily is required to apply its judgment in evaluating the cost-benefit relationship of possible controls and procedures.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required by Rule 13a-15(b)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quarter covered by this Quarterly Report. Based on this evaluation, our Principal Executive Officer and Principal Financial Officer concluded that our disclosure controls and procedures were effective at the reasonable assurance level as of the end of the quarter covered by this Quarterly Report.</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evaluation was also performed under the supervision and with the participation of our management, including our Principal Executive Officer and Principal Financial Officer, of any changes to our internal control over financial reporting (as defined in Rules 13a-15(f) and 15d-15(f) under the Exchange Act) during the quarter covered by this Quarterly Report that have materially affected, or are reasonably likely to materially affect, our internal control over financial reporting. Our evaluation did not identify any changes in our internal control over financial reporting that occurred during the quarter covered by this Quarterly Report that have materially affected, or are reasonably likely to materially affect, our internal control over financial reporting. </w:t>
      </w:r>
    </w:p>
    <w:p>
      <w:pPr>
        <w:pStyle w:val="TextBody"/>
        <w:bidi w:val="0"/>
        <w:spacing w:before="360" w:after="283"/>
        <w:jc w:val="center"/>
        <w:rPr>
          <w:rFonts w:ascii="Times New Roman" w:hAnsi="Times New Roman"/>
          <w:b/>
          <w:color w:val="000000"/>
          <w:sz w:val="20"/>
        </w:rPr>
      </w:pPr>
      <w:bookmarkStart w:id="14" w:name="part_ii_other_information"/>
      <w:bookmarkEnd w:id="14"/>
      <w:r>
        <w:rPr>
          <w:rFonts w:ascii="Times New Roman" w:hAnsi="Times New Roman"/>
          <w:b/>
          <w:color w:val="000000"/>
          <w:sz w:val="20"/>
        </w:rPr>
        <w:t>PART II. OTHER INFORMATION</w:t>
      </w:r>
    </w:p>
    <w:p>
      <w:pPr>
        <w:pStyle w:val="TextBody"/>
        <w:bidi w:val="0"/>
        <w:spacing w:before="120" w:after="283"/>
        <w:jc w:val="left"/>
        <w:rPr>
          <w:rFonts w:ascii="Times New Roman" w:hAnsi="Times New Roman"/>
          <w:b/>
          <w:color w:val="000000"/>
          <w:sz w:val="20"/>
        </w:rPr>
      </w:pPr>
      <w:bookmarkStart w:id="15" w:name="item_1_legal_proceedings"/>
      <w:bookmarkStart w:id="16" w:name="part_ii_item_1_legal_proceedings"/>
      <w:bookmarkEnd w:id="15"/>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9, 2025 and October 22, 2025, two substantially similar putative securities class action complaints were filed in the U.S. District Court for the Southern District of California, naming aTyr Pharma, Inc. and our Chief Executive Officer, Sanjay Shukla. The complaints assert that we and Mr. Shukla violated Section 10(b) of the Exchange Act and SEC Rule 10b-5, by making materially false or misleading statements related to efzofitimod. The complaints also assert that Mr. Shukla violated Section 20(a) of the Exchange Act. Plaintiffs seek class certification, an award of unspecified damages, and award of reasonable costs and expenses, including attorneys’ fees and expert fees, and further relief as the court may deem just and proper. On February 9, 2026, the court consolidated the two cases and appointed co-lead plaintiffs to oversee the litigation. On May 1, 2026, co-lead plaintiffs filed an Amended Consolidated Complaint. The Amended Consolidated Complaint is based on the same underlying allegations as the original complaints, asserts the same claims and seeks the same relief, and adds our Chief Financial Officer, Jill M. Broadfoot, as a defendant. Under the current schedule, the deadline to respond to the Amended Consolidated Complaint, including by filing a motion to dismiss, is July 17, 2026. Any opposition to a motion to dismiss is due August 28, 2026, with any reply due September 28, 2026. We believe we have meritorious defenses and intend to vigorously defend the Company in this matter.</w:t>
      </w:r>
    </w:p>
    <w:p>
      <w:pPr>
        <w:pStyle w:val="TextBody"/>
        <w:bidi w:val="0"/>
        <w:spacing w:before="240" w:after="283"/>
        <w:jc w:val="both"/>
        <w:rPr>
          <w:rFonts w:ascii="Times New Roman" w:hAnsi="Times New Roman"/>
          <w:sz w:val="20"/>
        </w:rPr>
      </w:pPr>
      <w:bookmarkStart w:id="17" w:name="item_1a_risk_factors"/>
      <w:bookmarkEnd w:id="1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bookmarkStart w:id="18" w:name="summary_of_risk_factors"/>
      <w:bookmarkEnd w:id="18"/>
      <w:r>
        <w:rPr>
          <w:rFonts w:ascii="Times New Roman" w:hAnsi="Times New Roman"/>
          <w:b/>
          <w:color w:val="000000"/>
          <w:sz w:val="20"/>
        </w:rPr>
        <w:t>Risks Factors Summary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Below is a summary of the principal factors that make an investment in our securities speculative or risky. This summary does not address all of the risks that we face. Additional discussion of the risks summarized in this risk factors summary, and other risks that we face, can be found following this summary and should be carefully considered, together with other information in this Quarterly Report and our other filings with the SEC before making investment decisions regarding our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Investing in our securities involves substantial risk. The risks described under the heading “Risk Factors” immediately following this summary may cause us to not realize the full benefits of our strengths or may cause us to be unable to successfully execute all or part of our strategy. Some of the more significant risks we face include the following:</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raise additional capital or enter into strategic partnering relationships to fund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biotechnology company and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established U.S. Food and Drug Administration (FDA) regulatory pathway for approval of a drug in pulmonary sarcoidosis. Our planned Phase 3 study for efzofitimod in pulmonary sarcoidosis may not be sufficient to support FDA approval and the FDA may require additional clinical trials which would materially and adversely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encounter substantial delays and other challenges in our ongoing or planned clinical trials or we may fail to demonstrate safety and efficacy, such as our failure to meet the primary endpoint in the EFZO-FIT study, to the satisfaction of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face contracted development and manufacturing organization (CDMO) manufacturing stoppages and other CDMO challenges associated with the clinical or commercial manufacture of our product candidates or regulatory activities required for a biologics license application (BLA) submission;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current product candidates and any other product candidates that we may develop from our discovery platform represent novel therapeutic approaches, which may cause significant delays or may not result in any commercially viable drugs;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depended and may again in the future depend on collaborations with third parties for the development and commercialization of certain of our product candidates. If our collaborations are not successful, we may not be able to capitalize on the market potential of these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are unable to obtain, maintain or protect intellectual property rights related to our product candidates, or if the scope of such intellectual property protection is not sufficiently broad, we may not be able to compete effectively in our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future success depends on our ability to retain key employees, consultants and advisors and to attract, retain and motivate qualified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Unfavorable macroeconomic conditions could adversely affect our business, financial condition or results of operations;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historically has been highly volatile and is likely to continue to be volatile, and you could lose all or part of your investment.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as well as the other information in this Quarterly Report and in our other public filings with the SEC.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other public filings when evaluating our business. The risk factors set forth below that are marked with an asterisk (*) contain changes to the similarly titled risk factors included in, or did not appear as separate risk factors in, Item 1A of our Annual Report on Form 10-K for the year ended December 31, 2025 (Annual Report), which was filed with the SEC on March 5, 2026.</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financial condition and need for additional capital</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will need to raise additional capital or enter into strategic partnering relationships to fund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of therapeutic product candidates is expensive, and we expect our research and development expenses to fluctuate. As of March 31, 2026, our cash, cash equivalents, restricted cash and available-for-sale investments were approximately $68.3 million. We believe that our current cash, cash equivalents, restricted cash and available-for-sale investments, will be sufficient to meet our material cash requirements for known contractual and other obligations for a period of at least one year from the date of this Quarterly Report. However, our operating plans may change as a result of many factors currently unknown to us, and we may need to seek additional funds sooner than planned, through equity or debt offerings, grant funding, collaborations, strategic partnerships and/or licensing arrangements. Our future funding requirements are difficult to forecast and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held a Type C meeting with the FDA in mid-April 2026 to review the results of the EFZO-FIT study and determine the path forward for efzofitimod in pulmonary sarcoidosis. Based on feedback from the FDA, we plan to continue the development of efzofitimod in pulmonary sarcoidosis in a planned Phase 3 study. This study and any potential need for additional clinical studies for efzofitimod in pulmonary sarcoidosis will be costly and will require us to obtain additional capital through equity offerings or partnering to conduct such studies;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type, number, scope progress, expansions, results, costs and timing of, our clinical trials and preclinical studies for our product candidates or other potential product candidates or indications which we are pursuing or may choose to pursue in the future, including changes in our CROs or CDMOs;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delays of our planned clinical trials of efzofitimod;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increases related to the manufacturing of preclinical study and clinical trial materials, including cost increases related to technology transfers to additional CDMOs and any delays in the manufacturing of study drug;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increases as a result of global geopolitical tension, armed conflicts, potential future health pandemics, liquidity concerns at, and failures of, banks and other financial institutions or other disruptions in the banking system or financing markets, tariffs and trade tensions, higher interest rates and financial and credit market fluctuations, volatility in the capital markets, labor shortages, economic slowdowns, recessions or market corrections, inflation and monetary supply shifts and tightening of credit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and characteristics of product candidates that we pursue;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and clinical trials for other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enter into new collaboration and licensing arrangements and the timing of any payments we may receive under such arrangements;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receive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any event, we will require additional capital to complete additional clinical trials, to obtain regulatory approval for, and to commercialize, our product candidates, such as efzofitimod.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Raising funds in the current and future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indebtedness would result in fixed payment obligations and may require us to agree to certain restrictive covenants, such as limitations on our ability to incur debt, limitations on our ability to acquire, sell or license intellectual property rights and other operating restrictions that could adversely impact our ability to conduct our business. As a result of global geopolitical and macroeconomic conditions, liquidity concerns at, and failures of, banks and other financial institutions or other disruptions in the banking system or financing markets, tariffs and trade tensions, the recent and potential future shutdowns of the federal government and the resulting effects on its regulatory agencies, higher interest rates and financial and credit market fluctuations, volatility in the capital markets, the global credit and financial markets have experienced volatility and disruptions, including severely diminished liquidity and credit availability, declines in consumer confidence, declines in economic growth, volatility in unemployment rates, inflation, higher interest rates and uncertainty about economic stability. If the equity and credit markets deteriorate, it may make any necessary debt or equity financing more difficult, more costly and more dilutive. In addition, any fundraising efforts may divert our management from their day-to-day activities, which may adversely affect our ability to develop and commercialize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biotechnology company and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biotechnology company, and we have not yet generated any revenues from product sales. We have incurred net losses in each year since our inception in 2005, including consolidated net losses of $10.8 million for the three months ended March 31, 2026. As of March 31, 2026, we had an accumulated deficit of $617.0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devoted most of our financial resources to research and development, including our clinical and preclinical development activities. To date, we have financed our operations primarily through the sale of equity securities and convertible debt and through venture debt, term loans and license and collaboration agreement revenues. The amount of our future net losses will depend, in part, on the rate of our future expenditures and our ability to obtain funding through equity offerings, grant funding, collaborations, strategic partnerships and/or licensing arrangements. We will not generate any revenue from product sales unless and until we successfully complete development and obtain regulatory approval for a product candidate. Even if we obtain regulatory approval to market a product candidate, our future revenues will depend, in part, upon the size of any markets in which our product candidates have received approval, and our ability to achieve sufficient market acceptance, reimbursement from third-party payors and adequate market share for our product candidates in those markets.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to continue to incur significant expenses and operating losses for the foreseeable future. We anticipate that our expenses will fluctuate in connection with our ongoing activities as we: continue our research and preclinical and clinical development of efzofitimod or any other product candidates that we may develop; obtain clinical trial materials and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revenues, expenses and income or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never generated any revenue from product sales and may never be profitable.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completing research, preclinical development and clinical development of our product candidates, potentially with a strategic partner;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regulatory approvals for product candidates for which we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sustainable, scalable, reproducible, and transferable manufacturing process for our product candidates and establishing supply and manufacturing relationships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launching and commercializing product candidates for which we obtain regulatory approval, either by collaborating with a partner or, if launched independently, by establishing a sales force, marketing and distribution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maintaining, protecting and expanding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market acceptance of our product candidates as viable treatment options for our target 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identifying and validating new therapeutic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attracting, hiring and retaining qualified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negotiating favorable terms in any licensing, collaboration or other arrangements into which we may enter.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the discovery, development and regulation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no established FDA regulatory pathway for approval of a drug in pulmonary sarcoidosis. Our planned Phase 3 study for efzofitimod in pulmonary sarcoidosis may not be sufficient to support FDA approval and the FDA may require additional clinical trials which would materially and adversely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only FDA-approved therapies for the treatment of sarcoidosis are glucocorticoids which were approved by the FDA in the 1950s, prior to current regulatory standards. As such, the most appropriate efficacy endpoints to demonstrate clinically meaningful treatment effects have not been established. Accordingly, the FDA has not endorsed a specific primary endpoint nor a specific means for measurement of steroid reduction. In 2022 we initiated the EFZO-FIT study, where we selected steroid reduction as the primary endpoint and measured steroid reduction in multiple ways in an effort to support an approval. In 2025, we announced top-line results from the EFZO-FIT study, including that the study did not meet its primary endpoint of steroid reduction.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study did not meet its primary endpoint, we believe the improvements seen across multiple clinically relevant efficacy endpoints indicate drug activity for efzofitimod. Based on these trial findings, we held a Type C meeting with the FDA in April 2026 to review the results of the EFZO-FIT study and determine the path forward for efzofitimod in pulmonary sarcoidosis. Based on feedback from the FDA, we plan to continue the development of efzofitimod in pulmonary sarcoidosis in a planned Phase 3 study in patients with chronic, symptomatic pulmonary sarcoidosis with restrictive lung disease utilizing FVC as the primary endpoint of the study and the KSQ-Lung score as the key secondary endpoint. We chose these endpoints based on the FDA’s indication that FVC and KSQ-Lung are direct measures of how patients suffering from pulmonary sarcoidosis function and feel, and we concluded FVC to be a more appropriate primary endpoint at this time pending further content validation work for KSQ-Lung as recommended by the FDA. Additionally, as part of our discussion with the FDA regarding the benefit risk profile for efzofitimod, we plan to increase the frequency of dosing of 5.0 mg/kg efzofitimod or placebo from once every four weeks in past trials to once every three weeks in this next trial. This planned Phase 3 study and any potential need for any additional clinical trials for efzofitimod in pulmonary sarcoidosis, will require a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amount of additional time and resources to support approval. In addition, it will require us to obtain additional capital through equity offerings or partnering to conduct such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FDA views the EFZO-FIT study as a failed study due to the fact that the study did not meet its primary endpoint and indicated that results from the EFZO-FIT study will not be useful in establishing effectiveness for efzofitimod in pulmonary sarcoidosis. The FDA highlighted the risk of proceeding with a larger study in a more limited patient population with a higher unstudied dose and expressed concerns regarding patient safety, which may not be mitigated in part or at all by our planned risk mitigation strategies, enhanced safety surveillance for the potential development of anti-synthetase syndrome and data safety monitoring committee. The results of our planned Phase 3 study may not ultimately support FDA approval, which would adversely affect our business, prospects, financial condition and results of operations.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general, the FDA has substantial discretion in the approval process and may refuse to accept our application or decide that our data are insufficient for approval and require additional preclinical, clinical or other trials, which would be costly and significantly delay the potential for regulatory approval.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efzofitimod based on the completed clinical trials.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encounter substantial delays and other challenges in our ongoing or planned clinical trials or we may fail to demonstrate safety and efficacy, such as our failure to meet the primary endpoint in the EFZO-FIT study, to the satisfaction of applicable regulatory authorities.*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our ongoing clinical trials, including our Phase 2 study in systemic sclerosis (SSc, also known as scleroderma) associated-interstitial lung disease (ILD) (SSc-ILD) (the EFZO-CONNECT study), or planned clinical trials, including our planned Phase 3 study for efzofitimod in pulmonary sarcoidosis, will be initiated or conducted as planned or completed on schedule, if at all. We cannot assure you that our product candidates will not be subject to new clinical holds or significant delay in the future. For example, we may experience delays in site initiation and patient enrollment, failures to comply with study protocols, delays in the manufacture of study drug for clinical testing and other difficulties in starting or completing our clinical trials. Any inability to initiate or complete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and our clinical trials may not be successful. Events that may prevent successful or timely completion of clinical development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our 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data to support the initiation of human clinical trials, including clinical trials of certain dosages;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consensus with regulatory agencies on trial design, and prioritization of outcome measurements that would best support the evaluation of efzofitimod’s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clinical contract research organizations (CROs) and clinical trial sites, including any delays resulting from changes in CROs;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obtaining required institutional review board or Ethics Committee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recruiting suitable patients to participate in our clinical trials, or delays that may result if the number of patients required for a clinical trial is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agencies, which may occur at any time before or during a clinical trial, including after our submission of data to these agencies or an inspection of our clinical trial operations or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CROs, investigators, other third parties or us to adhere to clinical trial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perform in accordance with the good clinical practices (GCPs) of the U.S. Food and Drug Administration (FDA) or applicable regulatory requirements in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delays in the testing, validation, manufacturing and delivery of our product candidates to the clinical sites;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disagreements with regulators regarding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adverse events associated with a product candidate that are viewed to outweigh its potential benefits; or</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delay in or inability to successfully complete preclinical and clinical development (including any delays resulting from any changes in a CRO) could result in additional costs to us and impair our ability to generate revenue. In addition, if we make manufacturing or formulation changes to our product candidates (including our technology transfer to another contracted development and manufacturing organization (CDMO) for bulk drug substance and production capacity changes for efzofitimod), we will need to conduct additional comparability studies to bridge our modified product candidates to earlier versions, and the data generated from these comparability studies will need to be reviewed and accepted by the FDA or other regulatory authorities.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results of our clinical trials are, or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be subject to litigation, including as described in this report under the caption “Legal Proceedings”; or experience damage to our reputation. For example, in September 2025, we announced that we did not meet the primary endpoint in the EFZO-FIT study. We held a Type C meeting with the FDA in mid-April 2026 to review the results of the EFZO-FIT study and determine the path forward for efzofitimod in pulmonary sarcoidosis. In May 2026, we received the official meeting minutes from the FDA. Based on feedback from the FDA, we plan to continue the development of efzofitimod in pulmonary sarcoidosis in a planned Phase 3 study in patients with chronic, symptomatic pulmonary sarcoidosis with restrictive lung disease. This planned Phase 3 study and any potential need for any additional clinical trials for efzofitimod in pulmonary sarcoidosis, will require a significant amount of additional time and resources to support approval. In addition, it will require us to obtain additional capital through equity offerings or partnering to conduct such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the safety and efficacy of efzofitimod has only been studied in a limited number of humans. Accordingly, efzofitimod and any future product candidates could potentially cause unexpected adverse events. In addition, the inclusion of critically ill patients in our clinical trials may result in deaths or other adverse medical events due to the natural progression of the disease. Further, if patients drop out of our ongoing or future clinical trials, miss scheduled doses or follow-up visits or otherwise fail to follow trial protocols, or if our clinical trials are otherwise disrupted due to global geopolitical tension, armed conflicts, potential future health pandemics or other adverse macroeconomic and geopolitical events, the integrity of data from our clinical trials may be compromised or not accepted by the FDA or other regulatory authorities, which would represent a significant setback for the applicable program. In addition, the COVID-19 pandemic previously impacted clinical trials broadly, including our completed efzofitimod Phase 1b/2a trial in patients with pulmonary sarcoidosis, where many sites stopped enrollment and patients chose not to enroll or continue participating in the trial due to the impact of COVID-19. While we completed the clinical trial, the availability of results from the Phase 1b/2a clinical trial was delayed until September 2021.</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expended significant time, resources and effort on the discovery and development of product candidates related to the extracellular proteins derived from the histidyl tRNA synthetase (HARS) family, including conducting preclinical studies and clinical trials. We have not yet successfully completed any evaluation of our product candidates in human clinical trials designed to demonstrate efficacy to the satisfaction of the FDA, including the EFZO-FIT study, which we announced in September 2025 did not meet its primary endpoint. Before we can market or sell our therapeutic candidates in the United States or foreign jurisdictions, we will need to commence and complete additional clinical trials and larger, pivotal trials,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such as our disclosure of an interim analysis of our Phase 2 EFZO-CONNECT study of efzofitimod in SSc-ILD in June 2025. Disclosure of interim data from our clinical studies is subject to the same risks as the disclosure of preliminary or top-line data.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encountered and may continue to encounter delays and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be unable to identify and enroll a sufficient number of patients with the disease in question and who meet the eligibility criteria for, and are willing to participate in, our clinical trials. For example, we are currently planning to continue development of efzotifimod in pulmonary sarcoidosis in a planned Phase 3 study in patients with chronic, symptomatic pulmonary sarcoidosis with restrictive lung disease. While estimates of pulmonary sarcoidosis prevalence vary, we estimate that pulmonary sarcoidosis affects an estimated 160,000 patients in the United States, with approximately 90,000 suffering from moderate to severe disease. Of that population, however, we estimate that approximately 38,000 experience restrictive lung disease such that our targeted patient population for our planned Phase 3 study is significantly smaller. The eligibility criteria for any of our clinical trials may further limit the pool of available participants in our trials. We may be unable to identify and enroll a sufficient number of patients with the disease in question and who meet the eligibility criteria for, and are willing to participate in, the clinical trials. Additionally, we are conducting the EFZO-CONNECT study in patients with SSc-ILD, where it is estimated that approximately 60,000 people in the United States have SSc-ILD. In addition to the limited potential patient population, the eligibility criteria may further limit the pool of available participants in the EFZO-CONNECT study. Once enrolled, patients may decide or be required to discontinue from the clinical trial due to inconvenience, burden of trial requirements, adverse events associated with efzofitimod, limitations required by trial protocols or other reasons.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identify, recruit, enroll and maintain a sufficient number of patients, or those with required or desired characteristics to achieve diversity in our clinical trials in a timely manner may also be affected by other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proximity and availability of clinical trial sites for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 of the study protocol and the burdens to patients of compliance with our study protocol;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perceived risks and benefits of the product candidate under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availability of competing therapies and clinical trials for the patient populations and indications under study;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efforts to facilitate timely enrollment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 referral practices of physicians;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monitor patients adequately during and after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difficulty in establishing or managing relationships with or changes in CROs and physicians;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different requirements and standards for the conduct of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inability to locate qualified local consultants, physicians and partners;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burden of complying with a variety of foreign laws, medical standards and regulatory requirements, including the regulation of biotechnology products and treatment.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clinical trial delays could also shorten any periods during which we may have the exclusive right to commercialize our product candidates or allow our competitors to bring products to market before we do, which could impair our ability to obtain orphan exclusivity and successfully commercialize our product candidates and may have an adverse effect on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previously conducted and we or our third-party collaborators may conduct additional clinical trials of efzofitimod outside of the United States. The FDA, however, may not accept data from such trials, in which case our development plans will be delayed, which could materially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2018, we completed a Phase 1 clinical trial of efzofitimod in healthy subjects in Australia. This randomized, double-blind, placebo-controlled study investigated the safety, tolerability, immunogenicity, and pharmacokinetics (PK) of intravenous efzofitimod in 36 healthy volunteers. In addition, we or our third-party collaborators may choose to conduct additional clinical trials for efzofitimod in countries outside the United States, subject to applicable regulatory approval. For example, Kyorin, conducted and funded an efzofitimod Phase 1 clinical trial in 32 healthy Japanese male volunteers and has conducted and funded the Japan portion of the EFZO-FIT study. We conducted the EFZO-FIT study with a total of 268 subjects in centers in the United States, Europe, Brazil, and Japan. We plan to conduct our planned Phase 3 study for efzofitimod in pulmonary sarcoidosis globally as well.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clinical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Conducting clinical trials outside the United States also exposes us to additional risks, including risks associated with: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 foreign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exchange fluctuations;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foreign manufacturing, customs, shipment and storage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cultural differences in medical practice and clinical research;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evolving global geopolitical tension, armed conflicts and macroeconomic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integrity of data from any clinical trials conducted outside of the United States may not be acceptable to the FDA.</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face CDMO manufacturing stoppages and other CDMO challenges associated with the clinical or commercial manufacture of our product candidates or regulatory activities required for a biologics license application</w:t>
      </w:r>
      <w:r>
        <w:rPr>
          <w:rFonts w:ascii="Times New Roman" w:hAnsi="Times New Roman"/>
          <w:color w:val="000000"/>
          <w:sz w:val="20"/>
        </w:rPr>
        <w:t xml:space="preserve"> (</w:t>
      </w:r>
      <w:r>
        <w:rPr>
          <w:rFonts w:ascii="Times New Roman" w:hAnsi="Times New Roman"/>
          <w:b/>
          <w:i/>
          <w:color w:val="000000"/>
          <w:sz w:val="20"/>
        </w:rPr>
        <w:t>BLA)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entities involved in the preparation of therapeutics for clinical trials or commercial sale, including our CDMOs for our product candidates, are subject to extensive regulation. Components of a finished therapeutic product approved for commercial sale or use in late-stage clinical trials must be manufactured in accordance with current good manufacturing practices (cGMPs).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BLA on a timely basis and must adhere to the FDA’s Good Laboratory Practices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 If anything were to prevent the FDA or other regulatory authorities from conducting their regular inspections, it could impact the ability of our CDMOs to provide us with product for clinical trials.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For example, in March 2026, the FDA issued our current CDMO a Notice of Inspectional Observations (commonly referred to as a Form 483), which requires our CDMO to address the observations in such notice to the FDA's satisfaction. Our CDMO may not address those observations in a timely manner or at all, and any of our CDMOs may receive a similar notice in the future. Any remedial measures imposed upon us or third parties with whom we contract as a result of inspections or audits could materially harm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240" w:after="160"/>
        <w:jc w:val="both"/>
        <w:rPr>
          <w:rFonts w:ascii="Times New Roman" w:hAnsi="Times New Roman"/>
          <w:sz w:val="20"/>
        </w:rPr>
      </w:pPr>
      <w:r>
        <w:rPr>
          <w:rFonts w:ascii="Times New Roman" w:hAnsi="Times New Roman"/>
          <w:color w:val="000000"/>
          <w:sz w:val="20"/>
        </w:rPr>
        <w:t xml:space="preserve">In addition, the manufacture of our product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and delays due to contamination, equipment failure or improper installation or operation of equipment, or vendor or operator error. We have incurred such product losses and delays due to these types of deviations with our current CDMO. Even minor deviations 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efzofitimod, include an additional antibody domain to improve PK characteristics, and may therefore require a more complex and time-consuming manufacturing process than other tRNA synthetase-based therapeutic candidates. Currently, we are producing our efzofitimod molecule in </w:t>
      </w:r>
      <w:r>
        <w:rPr>
          <w:rFonts w:ascii="Times New Roman" w:hAnsi="Times New Roman"/>
          <w:i/>
          <w:color w:val="000000"/>
          <w:sz w:val="20"/>
        </w:rPr>
        <w:t>E.coli</w:t>
      </w:r>
      <w:r>
        <w:rPr>
          <w:rFonts w:ascii="Times New Roman" w:hAnsi="Times New Roman"/>
          <w:color w:val="000000"/>
          <w:sz w:val="20"/>
        </w:rPr>
        <w:t xml:space="preserve">. The manufacturing processes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for one of our product candidates may not be readily adaptable to other product candidates that we develop, and we may need to engage multiple third-party manufacturers to produce our product candidates.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For example, we engaged an additional CDMO to manufacture efzofitimod and completed a technology transfer and validation process before the CDMO was able to produce additional bulk drug substance. Even if we successfully complete technology transfers and validation processes with third-party manufacturers, we may still experience manufacturing setbacks. For example, during 2024, we initiated preparatory work with the additional CDMO engaged to manufacture efzofitimod on three process performance qualification drug substance batches that will be required as part of our potential BLA submission for efzofitimod. During the first quarter of 2025, the first upstream batch did not meet process performance qualification specifications, and was replaced by the CDMO. During the third quarter of 2025, we initiated and successfully completed the required three process performance qualification batches. The drug substance material generated from these batches has been forward processed into drug product. The deviations in the initial drug substance batch were due to operational errors at the CDMO and not related to the underlying process nor the drug substance. In the future, we may experience deviations with this or other CDMOs for any number of reasons, whether due to operational errors or otherwise.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Additionally, we have been informed by our CDMO that it will be relocating the microbial manufacturing site we used to conduct our manufacturing batches. We are currently assessing the impact of this transition, including potentially conducting future manufacturing batches with this CDMO at a different site, or with a new CDMO. We believe we have sufficient drug product supply for all planned clinical studies, which includes our planned Phase 3 study for efzofitimod in pulmonary sarcoidosis. However, we expect our commercial supply planning and funding needs may be significantly impacted by the transition to the CDMO's other site, or by transitioning to a new CDMO for commercial supply purposes. We rely on the manufacturers of our product candidates (and will rely on manufacturers of our products, if approved) to purchase from third-party suppliers the materials necessary to produce the pharmaceutical ingredients, including finished drug product, for our nonclinical and clinical studies. Suppliers may not sell these materials to our manufacturers at the time we need them or on commercially reasonable terms and all such prices are susceptible to fluctuations in price and availability due to transportation costs, government regulations, price controls, and changes in economic climate or other foreseen circumstances. We do not have any control over the process or timing of the acquisition of these materials by our manufacturers. In addition, the U.S. has implemented, and has proposed to further implement, tariffs that may affect the availability of imported raw materials used in the production of our product candidates and/or increase the costs to our CDMO and the expense to us to produce our product candidates. Additionally, other governments have enacted, and may continue to enact, retaliatory measures in response to such tariffs. Any additional adverse developments, changes in legislation or other economic policy changes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the timing of our potential BLA submission for efzofitimod and could require significant additional funding. We may also have to write off inventory, incur other charges and expenses for supply of drug substance and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pStyle w:val="TextBody"/>
        <w:bidi w:val="0"/>
        <w:spacing w:before="80" w:after="283"/>
        <w:jc w:val="both"/>
        <w:rPr>
          <w:rFonts w:ascii="Times New Roman" w:hAnsi="Times New Roman"/>
          <w:b/>
          <w:i/>
          <w:color w:val="000000"/>
          <w:sz w:val="20"/>
        </w:rPr>
      </w:pPr>
      <w:r>
        <w:rPr>
          <w:rFonts w:ascii="Times New Roman" w:hAnsi="Times New Roman"/>
          <w:b/>
          <w:i/>
          <w:color w:val="000000"/>
          <w:sz w:val="20"/>
        </w:rPr>
        <w:t>Even if we complete the necessary preclinical studies and clinical trials, we cannot predict when or if we will obtain regulatory approval to commercialize a product candidate, and the scope of any approval may be narrower than we expect.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obtained orphan drug designation for efzofitimod for the treatment of sarcoidosis and systemic sclerosis in the United States and for the treatment of sarcoidosis in the European Union (EU) and in Japan, we may not receive orphan drug designation for efzofitimod in other jurisdictions or for other indications that we may pursue, or for any other product candidates we may develop under any new applications for orphan drug designation that we may submit, and any orphan drug designations that we have received or may receive may not confer marketing exclusivity or other expected commercial benefits.*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FDA granted orphan drug designation to efzofitimod for the treatment of sarcoidosis in January 2022 and SSc in April 2022. The European Commission, on the basis of the opinion of the European Medicines Agency (EMA) Committee for Orphan Medicinal Products (COMP) granted orphan drug designation to efzofitimod for the treatment of sarcoidosis in January 2023 and for the treatment of SSc in June 2023. In Japan, the Pharmaceutical and Medical Devices Agency (PMDA) granted efzofitimod orphan drug designation for the treatment of sarcoidosis to Kyorin in August 2023. We may apply for orphan drug designation for efzofitimod for other indications and product candidates in the United States and the EU.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 the EMA’s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Orphan drug status confers up to ten years of marketing exclusivity in Europe, and up to seven years of marketing exclusivity in the United States, for a particular product in a specified indication. Obtaining an orphan drug designation can be difficult and we cannot assure you that we will be able to obtain orphan drug designation in other jurisdictions or for other indications,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 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pStyle w:val="TextBody"/>
        <w:bidi w:val="0"/>
        <w:jc w:val="left"/>
        <w:rPr>
          <w:rFonts w:ascii="Times New Roman" w:hAnsi="Times New Roman"/>
          <w:b/>
          <w:i/>
          <w:color w:val="000000"/>
          <w:sz w:val="20"/>
        </w:rPr>
      </w:pPr>
      <w:r>
        <w:rPr>
          <w:rFonts w:ascii="Times New Roman" w:hAnsi="Times New Roman"/>
          <w:b/>
          <w:i/>
          <w:color w:val="000000"/>
          <w:sz w:val="20"/>
        </w:rPr>
        <w:t>A breakthrough therapy or Fast Track designation by the FDA, including the Fast Track designation we received for efzofitimod, may not lead to expedited development or regulatory review 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2022, the FDA granted Fast Track designation to efzofitimod for the treatment of pulmonary sarcoidosis and for the treatment of SSc-ILD. We may seek, from time to time, breakthrough therapy or Fast Track designation for our product candidates.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As a result, we cannot be certain whether any of our product candidates can or will qualify for breakthrough therapy designation. Our business may be harmed if we are unable to avail ourselves of these or any other expedited development and regulatory pathways.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layoffs, funding shortages or global health concerns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proposed clinical trials or new products can be affected by a variety of factors, including government budget and funding levels, layoffs,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agencies on which our operations may rely, including those that fund research and development activities, is subject to the political process, including executive and congressional priorities, the impacts of which are inherently fluid and unpredictable.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government employees and stop critical activities to the extent they are not funded by existing available user fees. In addition, the current administration has enacted substantial reductions in force at various government agencies that, if applied in a material way, could significantly reduce the FDA’s and other agencies’ capacities to perform their functions in a manner consistent with past practices and could negatively impact our business. Repeated or prolonged government shutdowns or material layoffs of agency personnel could significantly impact the ability of the FDA to timely review and process our regulatory submissions and negatively impact other government operations on which we rely, which could have a material adverse effect on our business.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regulatory approval for a product candidate, our products will remain subject to regulatory scrutiny.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CDMOs will be subject to continual review and inspections to assess compliance with cGMPs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 untitled or warning letters;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civil or criminal penalties;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or withdraw regulatory approval;</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suspend any of our ongoing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refuse to approve pending applications or supplements to approved applications submitted by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impose restrictions on our operations, including closing our CDMOs’ facilities;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seize or detain products, or require or request a product recall.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current product candidates and any other product candidates that we may develop from our discovery platform represent novel therapeutic approaches, which may cause significant delays or may not result in any commercially viable drugs.*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concentrated the bulk of our research and development efforts to date on studying extracellular functions of tRNA synthetase biology, a newly discovered area of biology. Our future success is highly dependent on the successful development of product candidates based on this new area of biology, including efzofitimod, and additional product candidates arising from proteins derived from tRNA synthetases, including aspartyl-tRNA synthetase (DARS) and aminoacyl-tRNA synthetase (AARS). ATYR0101, a fusion protein derived from a domain of DARS, and ATYR0750, a fusion protein derived from a domain of AARS, are product candidates from our tRNA synthetase biology program that we are continuing to advance in preclinical studies. Extracellular tRNA synthetase-based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derived from the HARS, AARS or DARS families and from other tRNA synthetase pathways represent a novel class of protein therapeutics, and our development of these therapeutics is based on our new understanding of human physiology. In particular, the mechanism of action of tRNA synthetases has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platform will yield therapeutic product candidates that are safe, effective, approvable by regulatory authorities, manufacturable, scalable, or profitable.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Because our work represents a new therapeutic approach, developing and commercializing our product candidates, including efzofitimod, subjects us to a number of challenges,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defining indications within our targeted diseases and clinical endpoints within each indication that are appropriate to support regulatory approval, including with respect to our planned Phase 3 study for efzofitimod in pulmonary sarcoidosis and the EFZO-CONNECT study, and prioritization of outcome measurements that would best support the evaluation of efzofitimod’s efficacy;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regulatory approval from the FDA and other regulatory authorities that have little or no experience with the development of extracellular tRNA synthetase-based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the potential side effect profile of each of our product candidates, such as the potential for the development of antibodies against our purified protein therapeutics;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processes for the safe administration of these product candidates, including long-term follow-up for all patients who receive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materials used to manufacture and process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manufacturing process and distribution network that ensures consistent manufacture of our product candidates in compliance with cGMPs and related requirements, with a cost of goods that allows for an attractive return on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obtaining and maintaining third-party coverage and adequate reimbursement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after obtaining any regulatory approval to gain market acceptance;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therapeutics for diseases or indications beyond those addressed by our current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Data generated in our preclinical studies and patient sample data relating to the immunomodulatory domain of HARS, including efzofitimod, may not be predictive or indicative of the immunomodulatory activity or therapeutic effects, if any, of our product candidates in patients.*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scientists discovered the activity of the immunomodulatory domain of HARS, including efzofitimod, using </w:t>
      </w:r>
      <w:r>
        <w:rPr>
          <w:rFonts w:ascii="Times New Roman" w:hAnsi="Times New Roman"/>
          <w:i/>
          <w:color w:val="000000"/>
          <w:sz w:val="20"/>
        </w:rPr>
        <w:t>in vitro</w:t>
      </w:r>
      <w:r>
        <w:rPr>
          <w:rFonts w:ascii="Times New Roman" w:hAnsi="Times New Roman"/>
          <w:color w:val="000000"/>
          <w:sz w:val="20"/>
        </w:rPr>
        <w:t xml:space="preserve"> and </w:t>
      </w:r>
      <w:r>
        <w:rPr>
          <w:rFonts w:ascii="Times New Roman" w:hAnsi="Times New Roman"/>
          <w:i/>
          <w:color w:val="000000"/>
          <w:sz w:val="20"/>
        </w:rPr>
        <w:t>in vivo</w:t>
      </w:r>
      <w:r>
        <w:rPr>
          <w:rFonts w:ascii="Times New Roman" w:hAnsi="Times New Roman"/>
          <w:color w:val="000000"/>
          <w:sz w:val="20"/>
        </w:rPr>
        <w:t xml:space="preserve"> screening systems designed to test potential immunomodulatory activity in animal models of immune activity or inflammation.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efzofitimod in patients with ILD.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efzofitimod may not be substantiated in other animal models or in clinical trials. Further, based on the discovery of the involvement of neuropilin-2 (NRP2) in the mechanism of action of efzofitimod, we are still expanding our knowledge of the role of the NRP2 pathway in regulating immune responses. Although we were able to establish clinical proof-of-concept for efzofitimod in our Phase 1b/2a clinical trial in patients with pulmonary sarcoidosis, this may not be validated in other clinical trials. For example, we did not meet the primary endpoint in our EFZO-FIT study. Any failure to demonstrate in controlled clinical trials the requisite safety and efficacy of our product candidates will adversely affect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 </w:t>
      </w:r>
      <w:r>
        <w:rPr>
          <w:rFonts w:ascii="Times New Roman" w:hAnsi="Times New Roman"/>
          <w:color w:val="000000"/>
          <w:sz w:val="20"/>
          <w:u w:val="single"/>
        </w:rPr>
        <w:t>Fo</w:t>
      </w:r>
      <w:r>
        <w:rPr>
          <w:rFonts w:ascii="Times New Roman" w:hAnsi="Times New Roman"/>
          <w:color w:val="000000"/>
          <w:sz w:val="20"/>
        </w:rPr>
        <w:t>r instance, as part of our discussion with the FDA regarding the benefit risk profile for efzofitimod, we plan to increase the frequency of dosing of 5.0 mg/kg efzofitimod or placebo from once every four weeks in past trials to once every three weeks in the next trial. Although we plan to include additional risk mitigation strategies, enhanced safety surveillance for the potential development of anti-synthetase syndrome and a data safety monitoring committee, these may not mitigate some or all of the safety risks. Generalized infusion related reactions (IRRs) and other complications or side effects could harm further development and/or commercialization of our product candidates, including efzofitimod.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you that these or other risks will not occur in any clinical trials for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anti-synthetase syndrome from antibodies or the occurrence of IRRs associated with antibodies, further advancement of our clinical trials could be halted or delayed, which would have a material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one or more of our product candidates receives marketing approval, and we or others later identify undesirable side effects or other safety concerns caused by such products, a number of potentially significant negative consequences could result.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the particular product candidate, if approved, and could significantly harm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our efforts to identify or discover additional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key element of our strategy is to expand applications of efzofitimod to additional immune-mediated diseases and leverage our discovery platform to identify the therapeutic potential of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in identifying product candidates that are useful in treating diseases. Our research programs may initially show promise in identifying potential product candidates, yet fail to yield product candidates for clinical development for a number of reasons,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research methodology used may not be successful in identifying appropriate potential product candidates;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product candidates may, on further study, be shown to have harmful side effects or other characteristics that indicate that they are unlikely to be product candidates that will receive marketing approval and achieve market acceptance.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reliance on third parties</w:t>
      </w:r>
    </w:p>
    <w:p>
      <w:pPr>
        <w:pStyle w:val="TextBody"/>
        <w:bidi w:val="0"/>
        <w:spacing w:before="120" w:after="283"/>
        <w:jc w:val="both"/>
        <w:rPr>
          <w:rFonts w:ascii="Times New Roman" w:hAnsi="Times New Roman"/>
          <w:sz w:val="20"/>
        </w:rPr>
      </w:pPr>
      <w:r>
        <w:rPr>
          <w:rFonts w:ascii="Times New Roman" w:hAnsi="Times New Roman"/>
          <w:b/>
          <w:i/>
          <w:color w:val="000000"/>
          <w:sz w:val="20"/>
        </w:rPr>
        <w:t>We have depended and may again in the future depend on collaborations with third parties for the development and commercialization of certain of our product candidates. If our collaborations are not successful, we may not be able to capitalize on the market potential of these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and may continue to enter into, research collaborations for the research and development of specified product candidates. Our sole source of revenue depends upon the performance by these collaborators of their responsibilities under these arrangements. The development efforts of our collaborators are subject to the same risks and uncertainties described above with respect to our independently developed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Other collaborators may not devote sufficient time or resources to the programs covered by these arrangements, 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collaborators may breach or terminate their agreements with us, including termination without cause, subject to certain prior written notice requirements, and we may be unsuccessful in entering into and maintaining other collaborative arrangements for the development of product candidates. For example, on May 12, 2026, we received notice of termination of the Kyorin Agreement with Kyorin. As a result of the termination of the Kyorin Agreement, we will not be entitled to receive any further milestone or other payments, including $155.0 million in the aggregate that would have been due upon achievement of certain development, regulatory and sales milestones, as well as tiered royalties on any net sales in Japan. Both parties will also cease to have any development or commercialization obligations after the Termination Date and the licenses we granted to Kyorin pursuant to the Kyorin Agreement will cease to be in effect after the Termination Date. Following the Termination Date, the rights to develop and commercialize efzofitimod in Japan for all forms of interstitial lung disease will revert to us. Consequently, we will hold the rights to develop and commercialize efzofitimod globally. In addition, if we are unable to maintain existing collaboration arrangements or enter into new ones, our ability to generate licensing, milestone or royalty revenues would be materially impaired.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decide to enter into additional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to conduct some or all aspects of our product manufacturing, protocol development, research and preclinical and clinical testing, and these third parties may not perform satisfactorily.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submissions and approval of our product candidates.</w:t>
      </w:r>
    </w:p>
    <w:p>
      <w:pPr>
        <w:pStyle w:val="TextBody"/>
        <w:bidi w:val="0"/>
        <w:spacing w:before="240" w:after="283"/>
        <w:jc w:val="both"/>
        <w:rPr>
          <w:rFonts w:ascii="Times New Roman" w:hAnsi="Times New Roman"/>
          <w:sz w:val="20"/>
        </w:rPr>
      </w:pPr>
      <w:r>
        <w:rPr>
          <w:rFonts w:ascii="Times New Roman" w:hAnsi="Times New Roman"/>
          <w:b/>
          <w:i/>
          <w:color w:val="000000"/>
          <w:sz w:val="20"/>
        </w:rPr>
        <w:t>We rely and intend to rely on third parties to produce preclinical, clinical and commercial supplies of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entails risks to which we would not be subject if we manufactured the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negotiate manufacturing agreements with third parties under commercially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control as a result of using third-party CDMOs for all aspects of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nonrenewal of manufacturing agreements with third parties in a manner or at a time that is costly or damaging to us;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to the operations of our CDMOs or suppliers caused by conditions unrelated to our business or operations, including the insolvency or bankruptcy of the CDMOs or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closed by our CDMO for strategic reasons related to the CDMO's business, or adversely affected by earthquakes and other natural disasters, labor shortages, power failures, economic slowdowns, higher interest rates, inflation and monetary supply shifts, evolving global geopolitical tension and numerous other factors. For example, we have been informed by our CDMO engaged to manufacture drug substance material for efzofitimod that it will be relocating the microbial manufacturing site we used to conduct prior batches of drug substance material.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pStyle w:val="TextBody"/>
        <w:bidi w:val="0"/>
        <w:spacing w:before="240" w:after="283"/>
        <w:jc w:val="both"/>
        <w:rPr>
          <w:rFonts w:ascii="Times New Roman" w:hAnsi="Times New Roman"/>
          <w:sz w:val="20"/>
        </w:rPr>
      </w:pPr>
      <w:r>
        <w:rPr>
          <w:rFonts w:ascii="Times New Roman" w:hAnsi="Times New Roman"/>
          <w:b/>
          <w:i/>
          <w:color w:val="000000"/>
          <w:sz w:val="20"/>
        </w:rPr>
        <w:t>We previously relied on a single CDMO for process development and scale-up of efzofitimod, including the manufacture of bulk drug substance for our projected needs for planned clinical trials. We have entered into an agreement with another CDMO for the transfer of the process, scale-up and manufacturing of bulk drug substance. If we want to eventually utilize product manufactured by the new CDMO for commercial purposes, the FDA will require us to demonstrate that the product manufactured by the new CDMO is comparable in quality, safety and efficacy to the product used in the EFZO-FIT and EFZO-CONNECT studies.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supply of efzofitimod for the EFZO-FIT and EFZO-CONNECT studies was produced by a prior CDMO. We have transitioned to a new CDMO that completed its first two commercial-scale cGMP runs during 2023. Full quality release testing has been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completed and all release specifications were met, supporting the new CDMO's ability to produce bulk drug substance of efzofitimod for commercial purposes if we receive regulatory approval for efzofitimod. Because the change in CDMO has been introduced at an advanced stage of development of efzofitimod, the FDA will require a comparability assessment, which may include additional nonclinical or clinical studies utilizing the product manufactured by the new CDMO. We have completed an analytical comparability assessment. The FDA has reviewed this analytical comparability assessment and no additional data was requested.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and expect to continue to rely, on third parties to conduct, supervise and monitor our clinical trials, and if these third parties perform in an unsatisfactory manner, it may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enrollment and data integrity from monitoring of the trial may suffer, our financial results could be harmed, our costs could increase, our ability to generate revenues could be delayed and the commercial prospects for our product candidates could be adversely affected.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 parties to manufacture our product candidates, and we collaborate with both industry and various academic institutions in the development of our discovery platform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obtain, maintain or protect intellectual property rights related to our product candidates, or if the scope of such intellectual property protection is not sufficiently broad, we may not be able to compete effectively in our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effect on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If due to the effects on our operations of general political and economic conditions, including global geopolitical tension, armed conflicts, potential future health pandemics, labor shortages, economic slowdowns, recessions or market corrections, inflation and monetary supply shifts, tariffs and trade tensions, higher interest rates and tightening of credit markets, or another cause, we are unable to generate new animal, or </w:t>
      </w:r>
      <w:r>
        <w:rPr>
          <w:rFonts w:ascii="Times New Roman" w:hAnsi="Times New Roman"/>
          <w:i/>
          <w:color w:val="000000"/>
          <w:sz w:val="20"/>
        </w:rPr>
        <w:t xml:space="preserve">in vitro </w:t>
      </w:r>
      <w:r>
        <w:rPr>
          <w:rFonts w:ascii="Times New Roman" w:hAnsi="Times New Roman"/>
          <w:color w:val="000000"/>
          <w:sz w:val="20"/>
        </w:rPr>
        <w:t>data, in time to support new, or updated patent application filings, or prior to patent conversion deadlines, it could materially impact the enforceability or scope of those patent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formulations for, or the manufacturing process or methods of use of, any of our product candidates, any molecules formed during the manufacturing process or any final product itself, the holders of any such patents may be able to block our ability to develop and commercialize such product candidate unless we obtained a license under the applicable patents, or until such patents expire. In either case, such a license may not be available on commercially reasonable terms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pStyle w:val="TextBody"/>
        <w:bidi w:val="0"/>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our therapeutic product candidates and processes for our development pipeline through acquisitions and in-licenses.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our technology and processes infringe on intellectual property of the licensor that is not subject to the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sublicensing of patent and other rights under our collaborative development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sublicensees or partners,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or the patents of our licensors, which could be expensive, time-consuming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challenging the inventorship or ownership of our patents and other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successful in defending against such claims, litigation could result in substantial costs and be a distraction to management and other employees.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Issued patents covering our product candidates could be found invalid or unenforceable if challenged in court.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patent law could diminish the value of patents in general, thereby impairing our ability to protect our products.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Times New Roman" w:hAnsi="Times New Roman"/>
          <w:i/>
          <w:color w:val="000000"/>
          <w:sz w:val="20"/>
        </w:rPr>
        <w:t>Association for Molecular Pathology v. Myriad Genetics, Inc.</w:t>
      </w:r>
      <w:r>
        <w:rPr>
          <w:rFonts w:ascii="Times New Roman" w:hAnsi="Times New Roman"/>
          <w:color w:val="000000"/>
          <w:sz w:val="20"/>
        </w:rPr>
        <w:t>, the U.S. Supreme Court held that certain claims to naturally occurring substances are not patentable. Although we do not believe that any of the patents owned or licensed by us will be found invalid based on this decision, we cannot predict how future decisions by the courts,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reform legislation could increase the uncertainties and costs surrounding the prosecution of our patent applications and the validity or defense of our issued patents.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 applications and the enforcement or defense of our issued patents, all of which could have a material adverse effect on our business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have limited resources, we may forego or delay pursuit of certain strategic opportunities or opportunities with certain programs, product candidates or indications that later prove to have greater commercial potential. We may focus on or pursue one indication over another potential indication and such development efforts may not be successful, which would cause us to delay the clinical development and approval of efzofitimod and other product candidates. In addition, our decisions as to which of our discovery programs to advance into preclinical and clinical development could preclude us from advancing others. Our resource allocation decisions may cause us to fail to capitalize on viable commercial products or profitable market opportunities. For example, based upon analyses from independent consultants that we have engaged and our own modeling, we estimate that there is a $2-5 billion market opportunity in pulmonary sarcoidosis and SSc-ILD. We estimate the target patient population for pulmonary sarcoidosis is approximately 38,000 restrictive lung disease patients, and approximately 24,000 mixed / diffusion-limited lung disease patients. We estimate the target patient population for Ssc-ILD is 60,000 patients. Depending on the accuracy of this estimate, we may not be most efficiently allocating resources toward the advancement of efzofitimod versus the advancement of other development efforts.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future success depends on our ability to retain key employees, consultants and advisors and to attract, retain and motivate qualified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response to competition, higher rates of inflation, labor shortages and the current price of our common stock, we may need to adjust employee cash compensation, which would affect our operating costs and our margins, or equity compensation, which would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affect our outstanding share count and cause dilution to existing stockholders. Because our equity compensation has historically consisted of stock options, given the recent drop in the price of our common stock, we may need to provide existing employees with additional equity compensation, which would negatively affect our outstanding share count and cause dilution to existing stockholders. We may not be able to attract and retain personnel on acceptable terms given the competition among numerous pharmaceutical and biotechnology companies for individuals with similar skill sets. In addition, the available pool of skilled employees may be further reduced if immigration laws or their application continue to change in a manner that further increases restrictions on immigration. Further,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 </w:t>
      </w:r>
    </w:p>
    <w:p>
      <w:pPr>
        <w:pStyle w:val="TextBody"/>
        <w:bidi w:val="0"/>
        <w:jc w:val="both"/>
        <w:rPr>
          <w:rFonts w:ascii="Times New Roman" w:hAnsi="Times New Roman"/>
          <w:sz w:val="20"/>
        </w:rPr>
      </w:pPr>
      <w:r>
        <w:rPr>
          <w:rFonts w:ascii="Times New Roman" w:hAnsi="Times New Roman"/>
          <w:b/>
          <w:i/>
          <w:color w:val="000000"/>
          <w:sz w:val="20"/>
        </w:rPr>
        <w:t>We may undertake internal restructuring activities in the future that could result in disruptions to our business or otherwise materially harm our results of operations or financial condition.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From time to time we may undertake internal restructuring activities as we continue to evaluate and attempt to optimize our cost and operating structure in light of developments in our business strategy and long-term operating plans.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a variety of risks associated with international operations that could materially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conduct certain research activities through Pangu BioPharma Limited, in collaboration with the Hong Kong University of Science and Technology. Additionally, we have conducted clinical trials in the United States, EU, Brazil, Japan and in Australia and may conduct future clinical trials internationally. Some countries, such as Brazil, require that clinical trial participants receive the product candidate at no cost even after the clinical trial has ended. We would not be able to recover any profit for these patients and depending on the number of patients, duration of the treatment and numerous other factors, such regulations could harm our business, prospects, financial condition and results of operations significantly. Further,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We are, and we expect that we will continue to be, subject to a variety of risks related to international operations, including, but not limited to: liquidity concerns at, and failures of, banks and other financial institutions or other disruptions in the banking system or financing markets; tariffs and trade tensions; different regulatory requirements for approval of drugs and biologics in foreign countries; reduced or uncertain protection for intellectual property; unexpected changes in tariffs, trade barriers and regulatory requirements; economic weakness, including labor shortages, economic slowdowns, recessions, inflation, monetary supply shifts, higher interest rates and tightening of credit markets; political instability in particular foreign economies and markets, including global geopolitical tension and armed conflicts; compliance with tax, employment, immigration and labor laws for employees living or traveling abroad; foreign currency fluctuations, which could result in reduced revenues and other obligations incident to doing business in another country; and the global impacts of potential future health pandemics.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failure to continue our international operations or to commercialize our product candidates outside of the United States may impair our ability to generate revenues and harm our business, prospects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significant regulatory sanctions and cause serious harm to our reputation. We have adopted a code of business conduct and ethics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been, and could be in the future, subject to securities class action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Securities class action litigation has often been brought against companies following a decline in the market price of their securities. This risk is especially relevant for us because pharmaceutical companies, including our company, have experienced significant stock price volatility. As described in this report under the caption “Legal Proceedings,” we, our chief executive officer and our chief financial officer are subject to securities class action complaints that were filed in October 2025. If we are not successful in the defense of these claims, we may have to make significant payments to, or other settlements with, our stockholders and their attorneys. Even if we are successful in the defense of these claims, such litigation has resulted, and could result in the future, in substantial costs and diversion of our management’s attention and resources, which could have a material adverse effect on our business, operating results or financial condition.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potential product liability, and, if successful claims are brought against us, we may incur substantial liability and costs. If the use of our product candidates harm patients, or is perceived to harm patients even when such harm is unrelated to our product candidates, our regulatory approvals could be revoked or otherwise negatively impacted and we could be subject to costly and damaging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impairment of our business reputation;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due to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distraction of management’s attention from our primary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patients or other claimants;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our product candidates, if approved for commercial sale.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We (and the third parties with whom we work) are, or may become, subject to stringent and evolving U.S. and foreign laws, regulations, rules, policies, contractual obligations, industry standards, and other obligations related to data privacy and security. Our (or the third-parties with whom we work) actual or perceived failure to comply with such obligations could have a material adverse effect on our business and financial condition, including a disruption of clinical trials or commercialization of products;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regulatory investigations or actions; litigation (including class claims) and mass arbitration demands; fines and penalties;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collect, receive, store, process, use, generate, transfer, disclose, make accessible, protect, secure, dispose of, transmit and share (Process or Processing) personal data and other sensitive information, including information we or the third parties with whom we work (such as CROs and clinical trial sites) collect about patients and healthcare providers in connection with clinical trials necessary to operate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Therefore, our data Processing activities subject us to numerous data privacy and security laws, regulations, rules, guidance, and industry standards as well as external and internal data privacy and security policies, contractual requirements and other obligations that apply to the Processing of personal (and other sensitive) data both by us and the third parties with whom we work (collectively, Data Protection Requirements). The number and scope of the Data Protection Requirements are changing, becoming increasingly stringent, creating uncertainty, subject to differing applications and interpretations, and may be inconsistent between jurisdictions. These Data Protection Requirements may require us to change our business model. New Data Protection Requirements may be proposed or enacted. Additionally, given the breadth and evolving nature of Data Protection Requirements (and consumers’ data privacy expectations), preparing for and complying with these requirements is rigorous, time-intensive and requires significant resources and a review of our technologies, systems and practices, as well as those of any third parties with whom we work. We may at times fail (or be perceived to have failed) in our efforts to comply with our Data Protection Requirements. Moreover, despite our efforts, our personnel or third parties with whom we work may fail to comply with such obligations, which could negatively impact our business operations and compliance posture. </w:t>
      </w:r>
    </w:p>
    <w:p>
      <w:pPr>
        <w:pStyle w:val="TextBody"/>
        <w:bidi w:val="0"/>
        <w:spacing w:before="240" w:after="283"/>
        <w:jc w:val="both"/>
        <w:rPr>
          <w:rFonts w:ascii="Times New Roman" w:hAnsi="Times New Roman"/>
          <w:sz w:val="20"/>
        </w:rPr>
      </w:pPr>
      <w:r>
        <w:rPr>
          <w:rFonts w:ascii="Times New Roman" w:hAnsi="Times New Roman"/>
          <w:color w:val="000000"/>
          <w:sz w:val="20"/>
        </w:rPr>
        <w:t>If we or the third parties with whom we work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(including class claims and mass arbitration demands) against us for our actual or perceived failure to comply with the Data Protection Requirements.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u w:val="single"/>
        </w:rPr>
        <w:t xml:space="preserve"> </w:t>
      </w:r>
      <w:r>
        <w:rPr>
          <w:rFonts w:ascii="Times New Roman" w:hAnsi="Times New Roman"/>
          <w:color w:val="000000"/>
          <w:sz w:val="20"/>
        </w:rPr>
        <w:t xml:space="preserve">Any of these events could have a material adverse effect on our reputation, business, or financial condition, and could lead to a loss of actual or prospective customers, or third parties with whom we work; interrupt or stop our clinical trials; result in an inability to Process personal data or to operate in certain jurisdictions; limit our ability to develop or commercialize our products; require us to revise, restructure or substantially change our operations; or otherwise materially adversely affect our operations (each, a Material Adverse Impact).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information privacy laws that impose certain obligations on covered businesses, including providing specific disclosures in privacy notices and affording residents with certain rights concerning their personal data.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for intentional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 In addition, the CPRA expanded the CCPA’s requirements and established a regulatory agency to implement and enforce the law. Other states have also passed or are considering comprehensive privacy laws, with actions also being considered at the federal and local levels, and we expect more states to pass similar laws in the future. These state laws and the CCPA provide individuals with certain rights concerning their personal data, including the right to access, correct, or delete certain personal data,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may further complicate compliance efforts, and may increase legal risk and compliance costs for us and the third parties with whom we work.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 We may become subject to an increasing number of foreign privacy laws, particularly as we have begun to sponsor clinical trials in foreign jurisdictions, including in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Europe. For example, failure to comply with the requirements of the EU and UK GDPR may result in warning letters, litigation, orders banning the Processing of personal data, mandatory audits and financial penalties, including fines of up to 4% of the total worldwide annual turnover, or €20,000,000 under the EU GDPR (17,500,000 British Pounds under the UK GDPR), in either case, whichever is greater; or private litigation related to Processing of personal data brought by classes of data subjects or consumer protection organizations authorized at law to represent their interests. Kyorin has also enrolled clinical trial patients in Japan and may be subject to local laws and regulations regarding data privacy, including Japan’s Act on the Protection of Personal Information. As another example, the LGPD broadly regulates Processing personal data of individuals in Brazil and imposes compliance obligations and penalties comparable to those of the EU GDPR.</w:t>
      </w:r>
    </w:p>
    <w:p>
      <w:pPr>
        <w:pStyle w:val="TextBody"/>
        <w:bidi w:val="0"/>
        <w:spacing w:before="240" w:after="283"/>
        <w:jc w:val="both"/>
        <w:rPr>
          <w:rFonts w:ascii="Times New Roman" w:hAnsi="Times New Roman"/>
          <w:sz w:val="20"/>
        </w:rPr>
      </w:pPr>
      <w:r>
        <w:rPr>
          <w:rFonts w:ascii="Times New Roman" w:hAnsi="Times New Roman"/>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for relevant U.S.-based organizations who self-certify compliance and participate in the Framework)</w:t>
      </w:r>
      <w:r>
        <w:rPr>
          <w:rFonts w:ascii="Times New Roman" w:hAnsi="Times New Roman"/>
          <w:color w:val="000000"/>
          <w:sz w:val="20"/>
          <w:u w:val="single"/>
        </w:rPr>
        <w:t>,</w:t>
      </w:r>
      <w:r>
        <w:rPr>
          <w:rFonts w:ascii="Times New Roman" w:hAnsi="Times New Roman"/>
          <w:color w:val="000000"/>
          <w:sz w:val="20"/>
        </w:rPr>
        <w:t xml:space="preserve">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and UK GDPR’s cross-border data transfer limitations.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EU and UK GDPR and the CCPA, may require our customers to impose specific contractual restrictions on their service providers. We also publish privacy policies, marketing materials, white papers, and other statements, related to, compliance with certain certifications,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Times New Roman" w:hAnsi="Times New Roman"/>
          <w:b/>
          <w:i/>
          <w:color w:val="000000"/>
          <w:sz w:val="20"/>
        </w:rPr>
        <w:t>Unfavorable macroeconomic conditions could adversely affect our business, financial condition or</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results of operations could be adversely affected by general conditions in the global economy and in the global financial markets. For example, the global financial crisis caused volatility and disruptions in the capital and credit markets. In addition, due to general political and economic conditions, including global geopolitical tension, armed conflicts, including the ongoing Ukraine-Russia conflict and conflicts in the Middle East, increasing tensions between the U.S. and China, liquidity concerns at, and failures of, banks and other financial institutions or other disruptions in the banking system or financing markets, tariffs and trade tensions, the recent and potential future shutdowns of the federal government and the resulting effects on its regulatory agencies, higher interest rates and financial and credit market fluctuations, volatility in the capital markets, the global credit and financial markets have experienced extreme volatility and disruptions, including diminished liquidity and credit availability, declines in consumer confidence, declines in economic growth, volatility in unemployment rates, inflation and uncertainty about economic stability. Further, due to the escalation of the ongoing conflict involving the U.S. and Iran, the closure and risk of further closures of the Strait of Hormuz have imposed significant constraints on global oil and energy transportation and production. A severe or prolonged economic downturn, such as the global financial crisis, could result in a variety of risks to our business, including inability to raise additional capital when needed on acceptable terms, if at all. A weak or declining economy and rapid changes in U.S. or foreign trade policy (such as the imposition of tariffs and trade barriers) could also strain our CDMOs and CROs, possibly resulting in supply disruption. Any of the foregoing could harm our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and we cannot anticipate all of the ways in which the current economic climate and financial market conditions could adversely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or the third parties upon whom we depend may be adversely affected by earthquakes, droughts, floods, fires, hurricanes or other natural disasters and our business continuity and disaster recovery plans may not adequately protect us from a serious disaster.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located in San Diego, California and our manufacturing activities are conducted by CDMOs and our clinical trials are conducted at various locations in the United States and abroad. Some of these geographic locations have in the past experienced natural disasters, including severe earthquakes. Earthquakes, droughts, floods, fires, hurricanes,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and clinical sites utilized by our CROs,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Additionally,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commercialization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or enter into agreements with third parties to market and sell our product candidates, we may be unable to generate any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currently have any infrastructure for the sales, marketing and distribution of pharmaceutical products. In order to market our product candidates, if approved by the FDA or any other regulatory body, we must build our sales, marketing, distribution,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we enter into arrangements or collaborations with third parties to perform sales, marketing and distribution services, our product revenues or the profitability of these product revenues to us are likely to be lower than if we were to market, sell or distribute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establish sales and marketing capabilities successfully, either on our own or in collaboration with third parties, we will not be successful in commercializing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manufacturers to produce our product candidates, but we have not entered into agreements with any such manufacturers to support commercialization.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run into technical or scientific issues related to development or manufacturing that we may be unable to resolve in a timely manner or with available funds. For example, in 2021, we engaged an additional CDMO to manufacture efzofitimod bulk drug substance. If the new CDMO experiences additional issues in validating the manufacturing process, particularly delays in producing efzofitimod in compliance with cGMP regulations, we could be forced to delay future clinical trials or the submission of regulatory approval applications to the FDA. In addition, due to the fact that all prior cGMP batches of efzofitimod, including those that we used in the EFZO-FIT study, have been produced by our prior CDMO, we will be required to complete comparability studies prior to using efzofitimod produced at the new CDMO’s facilities in subsequent clinical trials or submitting regulatory approval applications to the FDA. If we are unable to demonstrate such comparability to the satisfaction of the FDA, it may result in delays to future clinical trials or a deficiency in future regulatory applications. We have completed an analytical comparability assessment. The FDA has reviewed this analytical comparability assessment and no additional data was requested. If we or our CDMOs are unable to scale the manufacturing process to produce commercial quantities of our product candidates, or our CDMOs do not pass required regulatory pre-approval inspections, our commercialization efforts will be harmed.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pStyle w:val="TextBody"/>
        <w:bidi w:val="0"/>
        <w:spacing w:before="240" w:after="283"/>
        <w:jc w:val="both"/>
        <w:rPr>
          <w:rFonts w:ascii="Times New Roman" w:hAnsi="Times New Roman"/>
          <w:sz w:val="20"/>
        </w:rPr>
      </w:pPr>
      <w:r>
        <w:rPr>
          <w:rFonts w:ascii="Times New Roman" w:hAnsi="Times New Roman"/>
          <w:b/>
          <w:i/>
          <w:color w:val="000000"/>
          <w:sz w:val="20"/>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We are aware of other companies that could compete with our product candidates in their target therapeutic indications, such as our lead candidate, efzofitimod, for the treatment of pulmonary sarcoidosis, SSc-ILD and other ILD.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commercial success of any current product candidate or future product candidates will depend upon the degree of market acceptance by physicians, patients, third-party payors and others in the medical community.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insurance coverage and reimbursement status of newly-approved products is uncertain. Failure to obtain or maintain adequate coverage and reimbursement for new or current products, if approved, could limit our ability to market those products and decrease our ability to generate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For example, the United States Department of Health and Human Services (HHS) imposes rebates on many Medicare Part B and Medicare Part D products to penalize price increases that outpace inflation on an annual basis. HHS also has been empowered to negotiate the price of certain single-source drugs that have been on the market for at least seven years and single-course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Reimbursement agencies in Europe may be more conservative than third-party payors in the United States.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 It is unclear how reform measures in the United States will impact prices of medical products in other countries.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 changed the way healthcare is financed by both governmental and private insurers. There have been amendments and executive, judicial and congressional challenges to certain aspects of the ACA.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For example, on July 4, 2025, the annual reconciliation bill,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In the United States, we expect that additional federal healthcare reform measures will be adopted in the future, any of which could limit the amounts that the federal government will pay for healthcare products and services, which could result in reduced demand for our product candidates or additional pricing pressures.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(sometimes referred to as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certain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w:t>
      </w:r>
      <w:r>
        <w:rPr>
          <w:rFonts w:ascii="Times New Roman" w:hAnsi="Times New Roman"/>
          <w:i/>
          <w:color w:val="000000"/>
          <w:sz w:val="20"/>
        </w:rPr>
        <w:t>Loper Bright Enterprises v. Raimondo</w:t>
      </w:r>
      <w:r>
        <w:rPr>
          <w:rFonts w:ascii="Times New Roman" w:hAnsi="Times New Roman"/>
          <w:color w:val="000000"/>
          <w:sz w:val="20"/>
        </w:rPr>
        <w:t>, the United States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amend existing or enact new healthcare laws, and make changes to the Medicare Drug Price Negotiation Program We cannot predict what additional measures may be adopted or the impact of current and additional measures on the marketing, pricing and demand for our products, if approved, which could have a material adverse effect on our business, financial condition and results of operations.</w:t>
      </w:r>
    </w:p>
    <w:p>
      <w:pPr>
        <w:pStyle w:val="TextBody"/>
        <w:bidi w:val="0"/>
        <w:jc w:val="both"/>
        <w:rPr>
          <w:rFonts w:ascii="Times New Roman" w:hAnsi="Times New Roman"/>
          <w:color w:val="000000"/>
          <w:sz w:val="20"/>
        </w:rPr>
      </w:pPr>
      <w:r>
        <w:rPr>
          <w:rFonts w:ascii="Times New Roman" w:hAnsi="Times New Roman"/>
          <w:color w:val="000000"/>
          <w:sz w:val="20"/>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and customers may be subject, directly or indirectly, to federal and state healthcare fraud and abuse laws, false claims laws, transparency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do not currently have any products on the market, our current and future operations may be, directly or indirectly through our prescribers, customers and third-party payors, subject to various federal and state healthcare laws and regulations. The laws that may affect our ability to operate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to the federal government. In addition, the government may assert that a claim including items and services resulting from a violation of the federal Anti-Kickback Statute constitutes a false or fraudulent claim for purposes of the False Claims Act;</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federal Health Insurance Portability and Accountability Act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(HITECH), which imposes certain obligations, including mandatory contractual terms, with respect to safeguarding the privacy, security and transmission of individually identifiable health information without appropriate authorization by covered entities, i.e. health plans, healthcare clearinghouses and certain healthcare providers, as well as their business associates and covered subcontractors that perform certain services for or on their behalf involving the use or disclosure of individually identifiable health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other healthcare professionals (such as physician assistants and nurse practitioners), and teaching hospitals, as well as ownership and investment interests held by the physicians described above and their immediate family members;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analogous state and foreign laws and regulations.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 in order to distribute products commercially, we will need to comply with state laws that require the registration of manufacturers and wholesale distributors of drug and biological products in an applicable state, including, in certain states, manufacturers and distributors who ship products into the state even if such manufacturers or distributors have no place of business within the state. Some states also require pharmaceutical and biotechnology companies to establish marketing compliance programs, file periodic reports with the state, make periodic public disclosures on sales, marketing, pricing, clinical studies and other activities, and/or register their sales and medical representatives.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market price of our common stock historically has been highly volatile and is likely to continue to be volatile,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has been volatile and could be subject to wide fluctuations in response to various factors, some of which are beyond our control. In addition to the factors discussed in this “Risk Factors” section and elsewhere in this Quarterly Report, these factors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results or delays in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sufficient quantities of product candidates for use in clinical trials or for commercial purposes;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imposition of a clinical hold on our product candidates or our inability to cause the clinical hold to be lifted;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in filing an IND or BLA for any of our product candidates and any adverse development or perceived adverse development with respect to the FDA’s review of that IND or BLA;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our strategic partners to perform under our collaborations or early termination of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successfully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limited market sizes and pricing for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us or our licensors to prosecute, maintain or enforce intellectual property rights covering our product candidates and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or regulations applicable to current or future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adequate product supply for our product candidates or the inability to do so at acceptable prices;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introduction of new products, services or technologies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obtain additional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financial or operational projections we may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meet or exceed the financial or operational projections of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perception of the biopharmaceutical industry by the public, politicians, legislatures, regulators and the investment community;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acquisitions, strategic partnerships, joint ventures or capital commitments by us or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additions or departures of key scientific or management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securities or industry analysts issue an adverse or misleading opinion regarding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 valuations of similar companies;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our common stock by us or our stockholders in the future;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additional reverse stock split if we are unable to maintain a stock price above $1.00 per share of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trading volume of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political and macroeconomic conditions, including global geopolitical tension, armed conflicts, potential future health pandemics, liquidity concerns at, and failures of, banks and other financial institutions or other disruptions in the banking system or financing markets, tariffs and trade tensions, the recent and potential future shutdowns of the federal government and the resulting effects on its regulatory agencies, higher interest rates and financial and credit market fluctuations, volatility in the capital markets, and other geopolitical and macroeconomic conditions, including labor shortages, economic slowdowns, recessions, inflation and monetary supply shifts, rising interest rates and tightening of credit markets, and the resulting impacts on our business operations or financial condition.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companies trading in the stock market in general, and on the Nasdaq Capital Market and biotechnology companies in particular, have experienced extreme price and volume fluctuations, and we have in the past experienced volatility that has been unrelated or disproportionate to our operating performance. From January 1, 2025 through May 11, 2026 the closing price of our common stock has ranged between $0.65 and $6.61 per share. Broad market and industry factors may negatively affect the market price of our common stock, regardless of our actual operating performance.</w:t>
      </w:r>
    </w:p>
    <w:p>
      <w:pPr>
        <w:pStyle w:val="TextBody"/>
        <w:bidi w:val="0"/>
        <w:spacing w:before="240" w:after="283"/>
        <w:jc w:val="both"/>
        <w:rPr>
          <w:rFonts w:ascii="Times New Roman" w:hAnsi="Times New Roman"/>
          <w:sz w:val="20"/>
        </w:rPr>
      </w:pPr>
      <w:r>
        <w:rPr>
          <w:rFonts w:ascii="Times New Roman" w:hAnsi="Times New Roman"/>
          <w:b/>
          <w:i/>
          <w:color w:val="000000"/>
          <w:sz w:val="20"/>
        </w:rPr>
        <w:t>Our executive officers, directors, 5% holders and their affiliates currently own a significant percentage of our stock and will be able to exert significant control over matters submitted to stockholders for approval</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May 11, 2026 based on the latest information available to us, our executive officers, directors, holders known by us to own 5% of our voting stock and their affiliates own approximately 28.0% of our voting stock. Therefore, our executive officers, directors, holders known by us to own 5% of our voting stock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Future sales and issuances of equity securities could result in dilution to our stockholders, impose restrictions or limitations on our business and could cause our stock price to fall.*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additional capital in the future to continue our planned operations, and we may seek additional funding through a combination of equity offerings, debt, grant funding, collaborations, strategic partnerships and/or licensing arrangements. </w:t>
      </w:r>
    </w:p>
    <w:p>
      <w:pPr>
        <w:pStyle w:val="TextBody"/>
        <w:bidi w:val="0"/>
        <w:spacing w:before="120" w:after="283"/>
        <w:jc w:val="both"/>
        <w:rPr>
          <w:rFonts w:ascii="Times New Roman" w:hAnsi="Times New Roman"/>
          <w:sz w:val="20"/>
        </w:rPr>
      </w:pPr>
      <w:r>
        <w:rPr>
          <w:rFonts w:ascii="Times New Roman" w:hAnsi="Times New Roman"/>
          <w:color w:val="000000"/>
          <w:sz w:val="20"/>
        </w:rPr>
        <w:t>In April 2022, we entered into an Open Market Sale Agreement</w:t>
      </w:r>
      <w:r>
        <w:rPr>
          <w:rFonts w:ascii="Times New Roman" w:hAnsi="Times New Roman"/>
          <w:color w:val="000000"/>
          <w:sz w:val="13"/>
        </w:rPr>
        <w:t>SM</w:t>
      </w:r>
      <w:r>
        <w:rPr>
          <w:rFonts w:ascii="Times New Roman" w:hAnsi="Times New Roman"/>
          <w:color w:val="000000"/>
          <w:sz w:val="20"/>
        </w:rPr>
        <w:t xml:space="preserve"> with Jefferies implementing the Jefferies ATM Offering Program. In December 2024, we amended the Jefferies ATM Offering Program. Under the Jefferies ATM Offering Program we may offer and sell, from time to time and at our option, up to an aggregate of $215.0 million of shares of our common stock (inclusive of $65.0 million of sales made prior to the amendment) through Jefferies, acting as sales agent. Jefferies is entitled to a fixed commission rate of up to 3.0% of the gross sales proceeds of shares sold under the Jefferies ATM Offering Program. During the year ended December 31, 2025, we sold an aggregate of 13,887,177 shares of common stock at a weighted-average price of $4.94 per share for net proceeds of approximately $66.4 million under the Jefferies ATM Offering Program. We did not utilize the ATM Offering Program during the three months ended March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have established and may establish in the future programmed selling plans under Rule 10b5-1 of the Securities Exchange Act of 1934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pStyle w:val="TextBody"/>
        <w:bidi w:val="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comply with all applicable listing requirements or standards of The Nasdaq Capital Market and Nasdaq could delist our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common stock is currently listed on The Nasdaq Capital Market. In order to maintain that listing, we must satisfy minimum financial and other continued listing requirements and standards. One such requirement is that we maintain a minimum bid price of at least $1.00 per share for our common stock. On December 4, 2025, we received a deficiency notice (the Notice) from the listing qualifications staff (the Staff) of The Nasdaq Stock Market LLC (Nasdaq) notifying us that, for the last 30 consecutive business days preceding the date of the Notice, the bid price of our common stock had closed below $1.00 per share, the minimum closing bid price required by the continued listing requirements of Nasdaq Listing Rule 5550(a)(2). The Notice had no immediate effect on the listing of our common stock on The Nasdaq Capital Market. In accordance with Nasdaq Listing Rule 5810(c)(3)(A), we have 180 calendar days, or until June 2, 2026 (the Compliance Date) to regain compliance with the minimum bid price requirement by having shares of our common stock maintain a minimum closing bid price of at least $1.00 per share for a minimum of 10 consecutive business days before the Compliance Date. If our common stock does not achieve compliance by the Compliance Date, we may be eligible for an additional 180-day period to regain compliance. To qualify for the second compliance period, we would be required to meet the continued listing requirement for market value of publicly held shares and all other initial listing standards for The Nasdaq Capital Market, with the exception of the bid price requirement, and will need to provide written notice to Nasdaq of our intention to cure the deficiency during the second compliance period, by effecting a reverse stock split, if necessary. However, if it appears to the Staff that we will not be able to cure the deficiency, or if we are otherwise not eligible for the second compliance period, and we do not regain compliance by the Compliance Date, the Staff will provide written notification that our common stock is subject to delisting. At that time, we may appeal the delisting determination to a hearings panel pursuant to the procedures set forth in the applicable Nasdaq listing rules. However, there can be no assurance that, if we receive a delisting notice and appeal the delisting determination by Nasdaq to the panel, such appeal would be successful.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in us from our collaborators, vendors, suppliers and employees, which could harm our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business and future prospects.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we are not listed on a major exchange.</w:t>
      </w:r>
    </w:p>
    <w:p>
      <w:pPr>
        <w:pStyle w:val="TextBody"/>
        <w:bidi w:val="0"/>
        <w:jc w:val="both"/>
        <w:rPr>
          <w:rFonts w:ascii="Times New Roman" w:hAnsi="Times New Roman"/>
          <w:sz w:val="20"/>
        </w:rPr>
      </w:pPr>
      <w:r>
        <w:rPr>
          <w:rFonts w:ascii="Times New Roman" w:hAnsi="Times New Roman"/>
          <w:b/>
          <w:i/>
          <w:color w:val="000000"/>
          <w:sz w:val="20"/>
        </w:rPr>
        <w:t>Our ability to use our net operating losses to offset future taxable income may be subject to certain limitations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during our history, we do not expect to become profitable in the near future and we may never achieve profitability. Net operating loss (NOL) carryforwards that expire unused will be unavailable to offset future income tax liabilities. Federal NOLs incurred in tax years beginning after December 31, 2017, may be carried forward indefinitely, but the deductibility of such federal NOL carryforwards in a taxable year is limited to 80% of taxable income in such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under Section 382 of the Internal Revenue Code of 1986, as amended (Code) a corporation that undergoes an “ownership change” (as defined under Section 382 of the Code and applicable Treasury Regulations) is subject to limitations on its ability to utilize its pre-change NOL carryforwards to offset post-change taxable income. We have experienced ownership changes in the past, and may experience future ownership changes, under Section 382 of the Code that could affect our ability to utilize our NOL carryforwards to offset our income. Furthermore, our ability to utilize NOLs of companies that we may acquire in the future may be subject to limitations. There is also a risk that due to regulatory changes, such as suspensions on the use of NOLs or other unforeseen reasons, portions of our existing NOLs could expire or otherwise be unavailable to reduce future income tax liabilities, including for state tax purposes. For example, California imposed limits on the usability of California state net operating losses to offset taxable income in tax years beginning after 2023 and before 2027. For these reasons, we may not be able to utilize a material portion of our NOLs, even if we attain profitability, which could potentially result in increased future tax liability to us and could adversely affect our operating results and financial condition.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Uncertainties in the interpretation and application of existing, new and proposed tax laws and regulations could materially affect our tax obligations and effective tax 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do not intend to pay dividends on our common stock, and therefore any returns will be limited to the value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amended and restated certificate of incorporation and amended and restated bylaws, as well as provisions of Delaware law, could make it more difficult for a third party to remove our current management, acquire us or increase the cost of acquiring us, even if doing so would benefit our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amended and restated bylaws include provisions that: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“blank check” preferred stock, which could be issued by our board of directors without stockholder approval and may contain voting, liquidation, dividend and other rights superior to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create a classified board of directors whose members serve staggered three-year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special meetings of our stockholders can be called only by our board of directors, the chairperson of our board of directors, our chief executive officer or our president;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vacancies on our board of directors may be filled only by a majority of directors then in office, even though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expressly authorize our board of directors to modify, alter or repeal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and amended and restated bylaws.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 of forum provision does not apply to suits brought to enforce a duty or liability created by the Exchange Act, or any other claim for which the federal courts have exclusive jurisdiction.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data, or those maintained by the third parties with whom we work, are or were compromised, this could result in a Material Adverse Impact.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our business, we and the third parties with whom we work Process (as defined above) proprietary, confidential and sensitive information, including personal data (including key-coded data, health information and other special categories of personal data), intellectual property, trade secrets, and proprietary business information owned or controlled by ourselves or other third party partners (collectively, Sensitive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the third parties with whom we work utilize information technology systems to Process Sensitive Information in connection with our business activities, and we face a variety of evolving threats that could cause security incidents.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 state supported actors. Some actors now engage and are expected to continue to engage in cyber-attacks, including without limitation nation 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conduct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and the third parties with whom we work are subject to a variety of evolving threats, including but not limited to software bugs; malicious code (such as viruses and worms); denial-of-service attacks; credential stuffing; credential harvesting; malware (including as a result of advanced persistent threat intrusions; natural disasters; terrorism; war; telecommunication and electrical failures; ransomware attacks; social-engineering attacks (including through deep fakes, which may be increasingly more difficult to identify as fake, and phishing attacks); server malfunctions; software or hardware failures; supply-chain attacks; loss of data or other computer assets; attacks enhanced or facilitated by AI; and other similar threats. Particularly, severe ransomware attacks are becoming increasingly prevalent and can lead to significant interruptions, delays, or outages in our operations, disruption of clinical trials, loss of data (including data related to clinical trials), and other Material Adverse Impacts (as defined above). To alleviate the financial, operational and reputational impact of a ransomware attack, it may be preferable to make extortion payments, but we may be unwilling or unable to do so (including, for example, if applicable laws or regulations prohibit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Additionally, remote work has increased the risk to our information technology assets and data, as more of our employees utilize network connections, computers and devices outside of our premises and networks, including working at home, while in transit and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acquired or integrated entities, and it may be difficult to integrate companies into our information technology environment and security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use third parties, including service providers and subprocessors, to help us operate our business and engage in Processing or otherwise share Sensitive Information with our partners or other third parties in conjunction with our business. These third parties and their technologies operate critical business systems to Process Sensitive Information in a variety of contexts, including, without limitation,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Material Adverse Impacts. While we may be entitled to damages if the third parties with whom we work fail to satisfy their privacy or security-related obligations to us, any award may be insufficient to cover our damages, or we may be unable to recover such award. Similarly, supply chain attacks have increased in frequency and severity, and we cannot guarantee that third parties’ infrastructure in our supply chain or that of the third parties with whom we work have not been compromised.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phishing attempts in the past, and expect such attempts will continue in the future. A security incident or other interruption could disrupt our ability (and that of third parties with whom we work) to provide our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expend significant resources, fundamentally change our business activities and practices, or modify our operations, including our clinical trial activities, or information technology in an effort to protect against security incidents and to mitigate, detect, and remediate actual and potential vulnerabilities. Applicable Data Protection Requirements (as defined above) may require us to implement specific security measures to protect against security incidents.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we, or the third parties with whom we work, will be successful in preventing a security incident or mitigating their effects. We take steps designed to detect, mitigate and remediate vulnerabilities in our information technology systems (such as our hardware and/or software, including that of third parties with whom we work). We may not, however, detect and remediate all such vulnerabilities including that of third parties with whom we work, on a timely basis. Further, we may experience delays in developing and deploying remedial measures and patches designed to address identified vulnerabilities. Vulnerabilities could be exploited and result in a security incident. These vulnerabilities, bugs, errors or defects alone, or a combination of them, could pose material risks to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Furthermore, applicable Data Protection Requirements may require us, or we may voluntarily choose, to notify relevant stakeholders of security incidents, or take other actions, such as providing credit monitoring and identity theft protection services. Such disclosures and related actions can be costly, and the disclosures or the failure to comply with such applicable requirements could lead to Material Adverse Impacts.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or the third parties with whom we work experience or in the future experience (or are perceived to have experienced) any security incident(s), we could suffer reputational harm, face litigation or adverse regulatory actions, fines, other penalties, audits, inspections, additional reporting requirements and/or oversight, restrictions on Processing Sensitive Information, indemnification obligations, negative publicity, business interruptions, and diversion of funds. For example, the loss of data from completed clinical trials for our product candidates could result in delays in our regulatory approval efforts and significantly increase our costs. As a result, we could experience Material Adverse Impacts.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insurance coverage, will be adequate or otherwise protect us from or adequately mitigate liabilities or damages with respect to claims, costs, expenses, litigation, fines, penalties, business loss, data loss, regulatory actions or Material Adverse Impacts arising out of our Processing operations, data privacy and security practices, or security incidents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a Material Adverse Impact.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subject to anti-corruption laws in the jurisdictions in which we operate.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a number of anti-corruption laws, including the Foreign Corrupt Practices Act of 1977, as amended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effect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and will continue to incur significant costs as a result of laws, rules, regulations and standards relating to various aspects of our business, including corporate governance, work force initiatives and operating as a public company, and failure to comply with such laws, rules, regulations and standards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Laws, rules, regulations and standards affecting various aspects of our business have resulted in and will continue to result in significant costs to us as we evaluate their implications and respond to their requirements. Such laws, rules, regulations and standards include the Sarbanes-Oxley Act of 2002, rules subsequently implemented by the SEC, The Nasdaq Stock Market, the Dodd-Frank Wall Street Reform and Consumer Protection Act (the Dodd-Frank Act) enacted in July 2010 and executive orders. Certain laws, rules, regulations and standards are subject to varying interpretations in some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policies and governance practices. For example,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also lead to substantial new regulations and disclosure obligations, which may lead to additional compliance costs and impact the manner in which we operate our business in ways we cannot currently anticipate. If we fail, or are perceived to fail, to comply with these laws, rules, regulations and standards, our reputation may be harmed and we might be subject to litigation, sanctions, investigations or other regulatory proceedings, which would adversely affect our financial results and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management and other personnel devote a substantial amount of time to these compliance initiatives. Moreover, these laws, rules, regulations and standards increase our legal and financial compliance costs and make some activities more time-consuming and costly. For example, they make it more difficult and more expensive for us to maintain director and officer liability insurance and we have been required to incur substantial costs to maintain our current levels of such coverage. In the future, we may be forced to accept reduced policy limits and coverage or incur substantially higher costs to obtain coverage that is the same or similar to our current coverage. The impact of these events could make it more difficult for us to attract and retain qualified persons to serve as executive officers or on our board of directors and board committees. We cannot predict or estimate the total costs we may incur or the timing of such costs to comply with these laws, rules, regulations and standards.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broad discretion in the use of our cash, cash equivalents and available-for-sale investments and are exposed to risks related to the marketable securities we may purchase.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considerable discretion in the application of our existing cash, cash equivalents and available-for-sale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 short-term investments, including but not limited to investment-grade, interest-bearing securities. Historically, investment in these securities has been highly liquid and has experienced only very limited defaults. However, volatility in the financial markets in recent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years has created additional uncertainty regarding the liquidity and safety of these investments. Additionally, we may use this cash, cash equivalents and available-for-sale investments for purposes that do not yield a significant return or any return at all for our stockholders.</w:t>
      </w:r>
    </w:p>
    <w:p>
      <w:pPr>
        <w:pStyle w:val="TextBody"/>
        <w:bidi w:val="0"/>
        <w:spacing w:before="200" w:after="283"/>
        <w:jc w:val="left"/>
        <w:rPr>
          <w:rFonts w:ascii="Times New Roman" w:hAnsi="Times New Roman"/>
          <w:b/>
          <w:color w:val="000000"/>
          <w:sz w:val="20"/>
        </w:rPr>
      </w:pPr>
      <w:bookmarkStart w:id="19" w:name="item_2_unregistered_sales_of_equity"/>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0" w:name="item_3_defaults_upon_senior_securities"/>
      <w:bookmarkEnd w:id="20"/>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21" w:name="item_4_mine_safety_disclosure"/>
      <w:bookmarkEnd w:id="21"/>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22" w:name="item_5_other_information"/>
      <w:bookmarkEnd w:id="22"/>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quarter ended March 31, 2026, no director or officer (as defined in Exchange Act Rule 16a-1(f)) adopted or terminated any "Rule 10b5-1 trading arrangement" or "non-Rule 10b5-1 trading arrangement" as those terms are defined in Item 408 of Regulation S-K.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Termination of Material Definitive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12, 2026, we received notice of termination of the Kyorin Agreement with Kyorin. Kyorin elected to terminate the Kyorin Agreement without cause in accordance with the terms of the Kyorin Agreement, and the termination will become effective 90 days after the date of receipt of the notice of termination (the Termination Date). Under the terms of the Kyorin Agreement, Kyorin received exclusive rights to develop and commercialize efzofitimod in Japan for all forms of interstitial lung disease (ILD) and is obligated to fund all research, development, regulatory, marketing and commercialization activities in Japan until the Termination Date. We are responsible for supplying all drug product for Japan, as well as supporting development activities for efzofitimod, until the Termination Date. We received aggregate consideration of $20.0 million from Kyorin in upfront and milestone payments, as well as reimbursement of certain research and development costs and costs for supply of efzofitimod to Kyorin. As a result of the termination of the Kyorin Agreement, we will not be entitled to receive any further milestone or other payments, including $155.0 million in the aggregate that would have been due upon achievement of certain development, regulatory and sales milestones, as well as tiered royalties on any net sales in Japan. Both parties will also cease to have any development or commercialization obligations after the Termination Date and the licenses we granted to Kyorin pursuant to the Kyorin Agreement will cease to be in effect after the Termination Date. Following the Termination Date, the rights to develop and commercialize efzofitimod in Japan for all forms of ILD will revert to us. Consequently, we will hold the rights to develop and commercialize efzofitimod globally. The foregoing description of the Kyorin Agreement is only a summary of the material terms thereof, does not purport to be complete and is subject to, and qualified in entirety by, the full text of the Kyorin Agreement, which we filed as Exhibit 10.21 in its Registration Statement on Form S-1 (File No. 333-235951), as amended, filed with the SEC on February 3, 2020, and is incorporated into this paragraph by reference.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Departure of Directors or Certain Officers; Election of Directors; Appointment of Certain Officers; Compensatory Arrangements of Certain Officers.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Rebalancing of the Board of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achieve a more equal balance of membership among the three classes of directors on our Board of Directors (the Board), the Board determined that one of its members should be reclassified from Class II (with a term expiring at our 2029 Annual Meeting of Stockholders) to Class I (with a term expiring at our 2028 Annual Meeting of Stockholders).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Accordingly, on May 11, 2026, Timothy P. Coughlin agreed to resign from the Board and his position as a Class II director subject to, and contingent upon, his immediate reappointment as a Class I director. Effective immediately following Mr. Coughlin’s resignation, the Board reappointed him as a Class I director. The resignation and reappointment of Mr. Coughlin was effected solely to rebalance the classes of directors on the Board and, for all other purposes, including the vesting and settlement of any outstanding equity awards and any other compensation to which Mr. Coughlin is entitled to as a non-employee director, Mr. Coughlin’s service on the Board is deemed to have continued uninterrupted. Mr. Coughlin will continue to serve as Chair of the Board and as a member of the Audit Committee of the Board. On May 11, 2026, the Board approved a decrease in the size of the Board from seven to six directors in accordance with our Amended and Restated Bylaws and Restated Certificate of Incorporation, as amended, to become effective upon the previously announced resignation of Paul Schimmel from the Board.</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Amendment to 2015 Stock Option and Incentive Plan, as amended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reported under the caption “Submission of Matters to a Vote of Security Holders” below, at our 2026 Annual Meeting of Stockholders held on May 11, 2026 (the Annual Meeting), our stockholders, upon the recommendation of the Board, approved an amendment to our 2015 Stock Option and Incentive Plan, as amended (the 2015 Stock Plan), to increase the maximum number of shares of common stock reserved and available for issuance by 4,000,000 to 19,725,101. The amendment to the 2015 Stock Plan also, among other things, extends the term under which incentive stock options may be granted until February 20, 2036.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summary of the 2015 Stock Plan, as amended, is set forth in our definitive proxy statement filed with the Securities and Exchange Commission on March 26, 2026 (the Proxy Statement). The summary and the foregoing description of the 2015 Stock Plan, as amended, do not purport to be complete and are qualified in their entirety by reference to the full text of the 2015 Stock Plan, as amended, a copy of which is filed herewith as Exhibit 10.1 to this Quarterly Report on Form 10-Q.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Amendments to Articles of Incorporation or Bylaws; Change in Fiscal Year.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the Annual Meeting, our stockholders approved, upon the recommendation of the Board, a proposal to amend our Restated Certificate of Incorporation to increase the number of authorized shares of common stock from 170,000,000 to 340,000,000 shares (the Authorized Share Proposal).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11, 2026, following stockholder approval of the Authorized Share Proposal at the Annual Meeting, we filed with the Secretary of State of the State of Delaware a Certificate of Amendment to our Restated Certificate of Incorporation (the Charter Amendment) to increase the authorized number of shares of common stock from 170,000,000 to 340,000,000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the Charter Amendment is set forth in the Proxy Statement. That summary and the foregoing description of the Charter Amendment do not purport to be complete and are qualified in their entirety by reference to the full text of the Charter Amendment, a copy of which is filed herewith as Exhibit 3.7 to this Quarterly Report on Form 10-Q.</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Submission of Matters to a Vote of Security Holders.</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The following proposals were submitted to our stockholders at the Annual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The election of three Class II directors, as nominated by the Board, to hold office until the 2029 annual meeting of stockholders or until their successors are duly elected and qualified;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ratification of the appointment of Ernst &amp; Young LLP as our independent registered public accounting firm for its fiscal year ending December 31,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The approval, on an advisory basis, of the compensation of our named executive officers as disclosed in the Proxy Statement;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The approval of an amendment to the 2015 Stock Plan;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The approval of the Charter Amendment to increase the number of authorized shares of common stock from 170,000,000 to 340,000,000 shares.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shares of common stock entitled to vote at the Annual Meeting was 98,051,212. The number of shares of common stock present or represented by valid proxy at the Annual Meeting was 63,380,506. All matters submitted to a vote of our stockholders at the Annual Meeting were approved and all director nominees were elected.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votes cast for and against and the number of votes withheld, abstentions and broker non-votes, as applicable, with respect to each matter voted upon at the Annual Meeting are set forth below. Voting results are, when applicable, reported by rounding fractional share voting down to the nearest round number.</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Proposal 1 – Election of Class II Directors.</w:t>
      </w:r>
    </w:p>
    <w:tbl>
      <w:tblPr>
        <w:tblW w:w="5419" w:type="dxa"/>
        <w:jc w:val="left"/>
        <w:tblInd w:w="0" w:type="dxa"/>
        <w:tblLayout w:type="fixed"/>
        <w:tblCellMar>
          <w:top w:w="28" w:type="dxa"/>
          <w:left w:w="28" w:type="dxa"/>
          <w:bottom w:w="28" w:type="dxa"/>
          <w:right w:w="28" w:type="dxa"/>
        </w:tblCellMar>
      </w:tblPr>
      <w:tblGrid>
        <w:gridCol w:w="1846"/>
        <w:gridCol w:w="1036"/>
        <w:gridCol w:w="931"/>
        <w:gridCol w:w="1606"/>
      </w:tblGrid>
      <w:tr>
        <w:trPr/>
        <w:tc>
          <w:tcPr>
            <w:tcW w:w="18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Director Nominee</w:t>
            </w:r>
          </w:p>
        </w:tc>
        <w:tc>
          <w:tcPr>
            <w:tcW w:w="10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93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Withhold</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84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Eric Benevich</w:t>
            </w:r>
          </w:p>
        </w:tc>
        <w:tc>
          <w:tcPr>
            <w:tcW w:w="10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39,127,782</w:t>
            </w:r>
          </w:p>
        </w:tc>
        <w:tc>
          <w:tcPr>
            <w:tcW w:w="93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458,635</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23,794,089</w:t>
            </w:r>
          </w:p>
        </w:tc>
      </w:tr>
      <w:tr>
        <w:trPr/>
        <w:tc>
          <w:tcPr>
            <w:tcW w:w="184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Timothy P. Coughlin</w:t>
            </w:r>
          </w:p>
        </w:tc>
        <w:tc>
          <w:tcPr>
            <w:tcW w:w="10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39,129,513</w:t>
            </w:r>
          </w:p>
        </w:tc>
        <w:tc>
          <w:tcPr>
            <w:tcW w:w="93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456,904</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23,794,089</w:t>
            </w:r>
          </w:p>
        </w:tc>
      </w:tr>
      <w:tr>
        <w:trPr/>
        <w:tc>
          <w:tcPr>
            <w:tcW w:w="1846"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Jane A. Gross, Ph.D.</w:t>
            </w:r>
          </w:p>
        </w:tc>
        <w:tc>
          <w:tcPr>
            <w:tcW w:w="103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38,575,400</w:t>
            </w:r>
          </w:p>
        </w:tc>
        <w:tc>
          <w:tcPr>
            <w:tcW w:w="93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1,031,017</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23,774,089</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Proposal 2 – Ratification of the appointment of Ernst and Young LLP as our independent registered public accounting firm for the fiscal year ending December 31, 2026.</w:t>
      </w:r>
    </w:p>
    <w:tbl>
      <w:tblPr>
        <w:tblW w:w="4699" w:type="dxa"/>
        <w:jc w:val="left"/>
        <w:tblInd w:w="0" w:type="dxa"/>
        <w:tblLayout w:type="fixed"/>
        <w:tblCellMar>
          <w:top w:w="28" w:type="dxa"/>
          <w:left w:w="28" w:type="dxa"/>
          <w:bottom w:w="28" w:type="dxa"/>
          <w:right w:w="28" w:type="dxa"/>
        </w:tblCellMar>
      </w:tblPr>
      <w:tblGrid>
        <w:gridCol w:w="1051"/>
        <w:gridCol w:w="1261"/>
        <w:gridCol w:w="78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Against</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62,318,013</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719,351</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343,142</w:t>
            </w:r>
          </w:p>
        </w:tc>
        <w:tc>
          <w:tcPr>
            <w:tcW w:w="1606" w:type="dxa"/>
            <w:tcBorders/>
            <w:tcMar>
              <w:top w:w="0" w:type="dxa"/>
              <w:left w:w="0" w:type="dxa"/>
              <w:bottom w:w="0" w:type="dxa"/>
              <w:right w:w="0" w:type="dxa"/>
            </w:tcMar>
            <w:vAlign w:val="center"/>
          </w:tcPr>
          <w:p>
            <w:pPr>
              <w:pStyle w:val="TableContents"/>
              <w:bidi w:val="0"/>
              <w:spacing w:before="240" w:after="283"/>
              <w:jc w:val="center"/>
              <w:rPr>
                <w:color w:val="000000"/>
              </w:rPr>
            </w:pPr>
            <w:r>
              <w:rPr>
                <w:color w:val="000000"/>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Proposal 3 – Approval, on an advisory basis, of the compensation of our named executive officers as disclosed in the Proxy Statement.</w:t>
      </w:r>
      <w:r>
        <w:rPr>
          <w:rFonts w:ascii="Times New Roman" w:hAnsi="Times New Roman"/>
          <w:color w:val="000000"/>
          <w:sz w:val="20"/>
        </w:rPr>
        <w:t xml:space="preserve"> </w:t>
      </w:r>
    </w:p>
    <w:tbl>
      <w:tblPr>
        <w:tblW w:w="4699" w:type="dxa"/>
        <w:jc w:val="left"/>
        <w:tblInd w:w="0" w:type="dxa"/>
        <w:tblLayout w:type="fixed"/>
        <w:tblCellMar>
          <w:top w:w="28" w:type="dxa"/>
          <w:left w:w="28" w:type="dxa"/>
          <w:bottom w:w="28" w:type="dxa"/>
          <w:right w:w="28" w:type="dxa"/>
        </w:tblCellMar>
      </w:tblPr>
      <w:tblGrid>
        <w:gridCol w:w="1051"/>
        <w:gridCol w:w="1261"/>
        <w:gridCol w:w="78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Against</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38,508,490</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965,267</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132,660</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23,774,089</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Proposal 4 – Approval of an amendment to the 2015 Stock Plan.</w:t>
      </w:r>
    </w:p>
    <w:tbl>
      <w:tblPr>
        <w:tblW w:w="4699" w:type="dxa"/>
        <w:jc w:val="left"/>
        <w:tblInd w:w="0" w:type="dxa"/>
        <w:tblLayout w:type="fixed"/>
        <w:tblCellMar>
          <w:top w:w="28" w:type="dxa"/>
          <w:left w:w="28" w:type="dxa"/>
          <w:bottom w:w="28" w:type="dxa"/>
          <w:right w:w="28" w:type="dxa"/>
        </w:tblCellMar>
      </w:tblPr>
      <w:tblGrid>
        <w:gridCol w:w="1051"/>
        <w:gridCol w:w="1261"/>
        <w:gridCol w:w="78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Against</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38,001,112</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1,482,938</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121,867</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23,774,589</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 xml:space="preserve">Proposal 5 – Approval of the Charter Amendment </w:t>
      </w:r>
      <w:r>
        <w:rPr>
          <w:rFonts w:ascii="Times New Roman" w:hAnsi="Times New Roman"/>
          <w:color w:val="000000"/>
          <w:sz w:val="20"/>
        </w:rPr>
        <w:t>to increase the number of authorized shares of common stock from 170,000,000 to 340,000,000 shares.</w:t>
      </w:r>
    </w:p>
    <w:tbl>
      <w:tblPr>
        <w:tblW w:w="4699" w:type="dxa"/>
        <w:jc w:val="left"/>
        <w:tblInd w:w="0" w:type="dxa"/>
        <w:tblLayout w:type="fixed"/>
        <w:tblCellMar>
          <w:top w:w="28" w:type="dxa"/>
          <w:left w:w="28" w:type="dxa"/>
          <w:bottom w:w="28" w:type="dxa"/>
          <w:right w:w="28" w:type="dxa"/>
        </w:tblCellMar>
      </w:tblPr>
      <w:tblGrid>
        <w:gridCol w:w="1051"/>
        <w:gridCol w:w="1261"/>
        <w:gridCol w:w="78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For</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Votes Against</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Abstain</w:t>
            </w:r>
          </w:p>
        </w:tc>
        <w:tc>
          <w:tcPr>
            <w:tcW w:w="1606"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Broker Non-Vote</w:t>
            </w:r>
          </w:p>
        </w:tc>
      </w:tr>
      <w:tr>
        <w:trPr/>
        <w:tc>
          <w:tcPr>
            <w:tcW w:w="105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57,341,649</w:t>
            </w:r>
          </w:p>
        </w:tc>
        <w:tc>
          <w:tcPr>
            <w:tcW w:w="126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5,876,079</w:t>
            </w:r>
          </w:p>
        </w:tc>
        <w:tc>
          <w:tcPr>
            <w:tcW w:w="781" w:type="dxa"/>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162,778</w:t>
            </w:r>
          </w:p>
        </w:tc>
        <w:tc>
          <w:tcPr>
            <w:tcW w:w="1606" w:type="dxa"/>
            <w:tcBorders/>
            <w:tcMar>
              <w:top w:w="0" w:type="dxa"/>
              <w:left w:w="0" w:type="dxa"/>
              <w:bottom w:w="0" w:type="dxa"/>
              <w:right w:w="0" w:type="dxa"/>
            </w:tcMar>
            <w:vAlign w:val="center"/>
          </w:tcPr>
          <w:p>
            <w:pPr>
              <w:pStyle w:val="TableContents"/>
              <w:bidi w:val="0"/>
              <w:spacing w:before="240" w:after="283"/>
              <w:jc w:val="center"/>
              <w:rPr>
                <w:color w:val="000000"/>
              </w:rPr>
            </w:pPr>
            <w:r>
              <w:rPr>
                <w:color w:val="000000"/>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6. Exhibits</w:t>
      </w:r>
    </w:p>
    <w:p>
      <w:pPr>
        <w:pStyle w:val="TextBody"/>
        <w:bidi w:val="0"/>
        <w:jc w:val="center"/>
        <w:rPr>
          <w:rFonts w:ascii="Times New Roman" w:hAnsi="Times New Roman"/>
          <w:b/>
          <w:color w:val="000000"/>
          <w:sz w:val="20"/>
        </w:rPr>
      </w:pPr>
      <w:bookmarkStart w:id="23" w:name="item_6_exhibits"/>
      <w:bookmarkEnd w:id="23"/>
      <w:r>
        <w:rPr>
          <w:rFonts w:ascii="Times New Roman" w:hAnsi="Times New Roman"/>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946"/>
        <w:gridCol w:w="5862"/>
        <w:gridCol w:w="529"/>
        <w:gridCol w:w="908"/>
        <w:gridCol w:w="664"/>
        <w:gridCol w:w="1296"/>
      </w:tblGrid>
      <w:tr>
        <w:trPr/>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5862"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908" w:type="dxa"/>
            <w:tcBorders/>
            <w:shd w:fill="FFFFFF" w:val="clear"/>
            <w:vAlign w:val="center"/>
          </w:tcPr>
          <w:p>
            <w:pPr>
              <w:pStyle w:val="TableContents"/>
              <w:bidi w:val="0"/>
              <w:spacing w:before="0" w:after="283"/>
              <w:jc w:val="left"/>
              <w:rPr>
                <w:sz w:val="4"/>
                <w:szCs w:val="4"/>
              </w:rPr>
            </w:pPr>
            <w:r>
              <w:rPr>
                <w:sz w:val="4"/>
                <w:szCs w:val="4"/>
              </w:rPr>
            </w:r>
          </w:p>
        </w:tc>
        <w:tc>
          <w:tcPr>
            <w:tcW w:w="664" w:type="dxa"/>
            <w:tcBorders/>
            <w:shd w:fill="FFFFFF" w:val="clear"/>
            <w:vAlign w:val="center"/>
          </w:tcPr>
          <w:p>
            <w:pPr>
              <w:pStyle w:val="TableContents"/>
              <w:bidi w:val="0"/>
              <w:spacing w:before="0" w:after="283"/>
              <w:jc w:val="left"/>
              <w:rPr>
                <w:sz w:val="4"/>
                <w:szCs w:val="4"/>
              </w:rPr>
            </w:pPr>
            <w:r>
              <w:rPr>
                <w:sz w:val="4"/>
                <w:szCs w:val="4"/>
              </w:rPr>
            </w:r>
          </w:p>
        </w:tc>
        <w:tc>
          <w:tcPr>
            <w:tcW w:w="1296" w:type="dxa"/>
            <w:tcBorders/>
            <w:shd w:fill="FFFFFF" w:val="clear"/>
            <w:vAlign w:val="center"/>
          </w:tcPr>
          <w:p>
            <w:pPr>
              <w:pStyle w:val="TableContents"/>
              <w:bidi w:val="0"/>
              <w:spacing w:before="0" w:after="283"/>
              <w:jc w:val="left"/>
              <w:rPr>
                <w:sz w:val="4"/>
                <w:szCs w:val="4"/>
              </w:rPr>
            </w:pPr>
            <w:r>
              <w:rPr>
                <w:sz w:val="4"/>
                <w:szCs w:val="4"/>
              </w:rPr>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7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29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right"/>
              <w:rPr/>
            </w:pPr>
            <w:r>
              <w:rPr/>
              <w:t> </w:t>
            </w:r>
          </w:p>
        </w:tc>
      </w:tr>
      <w:tr>
        <w:trPr/>
        <w:tc>
          <w:tcPr>
            <w:tcW w:w="946" w:type="dxa"/>
            <w:tcBorders>
              <w:bottom w:val="single" w:sz="4" w:space="0" w:color="000000"/>
            </w:tcBorders>
            <w:tcMar>
              <w:top w:w="0" w:type="dxa"/>
              <w:left w:w="0" w:type="dxa"/>
              <w:right w:w="0" w:type="dxa"/>
            </w:tcMar>
            <w:vAlign w:val="center"/>
          </w:tcPr>
          <w:p>
            <w:pPr>
              <w:pStyle w:val="TableContents"/>
              <w:bidi w:val="0"/>
              <w:ind w:left="0" w:right="0" w:firstLine="24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Number</w:t>
            </w:r>
          </w:p>
        </w:tc>
        <w:tc>
          <w:tcPr>
            <w:tcW w:w="58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9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2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2">
              <w:r>
                <w:rPr>
                  <w:rStyle w:val="InternetLink"/>
                  <w:rFonts w:ascii="Times New Roman" w:hAnsi="Times New Roman"/>
                  <w:color w:val="0000FF"/>
                  <w:sz w:val="20"/>
                  <w:u w:val="single"/>
                </w:rPr>
                <w:t>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November 14, 2022</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3.2</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3">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June 28, 2019</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4">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12, 2020</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3.4</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5">
              <w:r>
                <w:rPr>
                  <w:rStyle w:val="InternetLink"/>
                  <w:rFonts w:ascii="Times New Roman" w:hAnsi="Times New Roman"/>
                  <w:color w:val="0000FF"/>
                  <w:sz w:val="20"/>
                  <w:u w:val="single"/>
                </w:rPr>
                <w:t>Certificate of Amendment to Restated Certificate of Incorporation of the Registrant</w:t>
              </w:r>
            </w:hyperlink>
            <w:r>
              <w:rPr>
                <w:rFonts w:ascii="Times New Roman" w:hAnsi="Times New Roman"/>
                <w:color w:val="0000FF"/>
                <w:sz w:val="20"/>
              </w:rPr>
              <w:t xml:space="preserve"> </w:t>
            </w:r>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4, 2021</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3.5</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6">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April 29, 2022</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3.6</w:t>
            </w:r>
          </w:p>
        </w:tc>
        <w:tc>
          <w:tcPr>
            <w:tcW w:w="5862" w:type="dxa"/>
            <w:tcBorders/>
            <w:tcMar>
              <w:top w:w="0" w:type="dxa"/>
              <w:left w:w="0" w:type="dxa"/>
              <w:bottom w:w="0" w:type="dxa"/>
              <w:right w:w="0" w:type="dxa"/>
            </w:tcMar>
            <w:vAlign w:val="center"/>
          </w:tcPr>
          <w:p>
            <w:pPr>
              <w:pStyle w:val="TableContents"/>
              <w:bidi w:val="0"/>
              <w:jc w:val="left"/>
              <w:rPr/>
            </w:pPr>
            <w:hyperlink r:id="rId7">
              <w:r>
                <w:rPr>
                  <w:rStyle w:val="InternetLink"/>
                  <w:rFonts w:ascii="Times New Roman" w:hAnsi="Times New Roman"/>
                  <w:color w:val="0000FF"/>
                  <w:sz w:val="20"/>
                  <w:u w:val="single"/>
                </w:rPr>
                <w:t>Certificate of Amendment to Restated Certificate of Incorporation of the Registrant</w:t>
              </w:r>
            </w:hyperlink>
          </w:p>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8-K</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001-37378</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May 19, 2023</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3.7</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w:anchor="atyr-ex3_7.htm">
              <w:r>
                <w:rPr>
                  <w:rStyle w:val="InternetLink"/>
                  <w:rFonts w:ascii="Times New Roman" w:hAnsi="Times New Roman"/>
                  <w:color w:val="0000FF"/>
                  <w:sz w:val="20"/>
                  <w:u w:val="single"/>
                </w:rPr>
                <w:t>Certificate of Amendment to Restated Certificate of Incorporation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3.8</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8">
              <w:r>
                <w:rPr>
                  <w:rStyle w:val="InternetLink"/>
                  <w:rFonts w:ascii="Times New Roman" w:hAnsi="Times New Roman"/>
                  <w:color w:val="0000FF"/>
                  <w:sz w:val="20"/>
                  <w:u w:val="single"/>
                </w:rPr>
                <w:t>Amended and Restated Bylaws of the Registrant</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10-Q</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333-203272</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3.6</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November 14, 2022</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4.1</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r:id="rId9">
              <w:r>
                <w:rPr>
                  <w:rStyle w:val="InternetLink"/>
                  <w:rFonts w:ascii="Times New Roman" w:hAnsi="Times New Roman"/>
                  <w:color w:val="0000FF"/>
                  <w:sz w:val="20"/>
                  <w:u w:val="single"/>
                </w:rPr>
                <w:t>Specimen</w:t>
              </w:r>
            </w:hyperlink>
            <w:hyperlink r:id="rId10">
              <w:r>
                <w:rPr>
                  <w:rStyle w:val="InternetLink"/>
                  <w:rFonts w:ascii="Times New Roman" w:hAnsi="Times New Roman"/>
                  <w:color w:val="000000"/>
                  <w:sz w:val="20"/>
                  <w:u w:val="single"/>
                </w:rPr>
                <w:t xml:space="preserve"> </w:t>
              </w:r>
            </w:hyperlink>
            <w:hyperlink r:id="rId11">
              <w:r>
                <w:rPr>
                  <w:rStyle w:val="InternetLink"/>
                  <w:rFonts w:ascii="Times New Roman" w:hAnsi="Times New Roman"/>
                  <w:color w:val="0000FF"/>
                  <w:sz w:val="20"/>
                  <w:u w:val="single"/>
                </w:rPr>
                <w:t>Common</w:t>
              </w:r>
            </w:hyperlink>
            <w:hyperlink r:id="rId12">
              <w:r>
                <w:rPr>
                  <w:rStyle w:val="InternetLink"/>
                  <w:rFonts w:ascii="Times New Roman" w:hAnsi="Times New Roman"/>
                  <w:color w:val="000000"/>
                  <w:sz w:val="20"/>
                  <w:u w:val="single"/>
                </w:rPr>
                <w:t xml:space="preserve"> </w:t>
              </w:r>
            </w:hyperlink>
            <w:hyperlink r:id="rId13">
              <w:r>
                <w:rPr>
                  <w:rStyle w:val="InternetLink"/>
                  <w:rFonts w:ascii="Times New Roman" w:hAnsi="Times New Roman"/>
                  <w:color w:val="0000FF"/>
                  <w:sz w:val="20"/>
                  <w:u w:val="single"/>
                </w:rPr>
                <w:t>Stock</w:t>
              </w:r>
            </w:hyperlink>
            <w:hyperlink r:id="rId14">
              <w:r>
                <w:rPr>
                  <w:rStyle w:val="InternetLink"/>
                  <w:rFonts w:ascii="Times New Roman" w:hAnsi="Times New Roman"/>
                  <w:color w:val="000000"/>
                  <w:sz w:val="20"/>
                  <w:u w:val="single"/>
                </w:rPr>
                <w:t xml:space="preserve"> </w:t>
              </w:r>
            </w:hyperlink>
            <w:hyperlink r:id="rId15">
              <w:r>
                <w:rPr>
                  <w:rStyle w:val="InternetLink"/>
                  <w:rFonts w:ascii="Times New Roman" w:hAnsi="Times New Roman"/>
                  <w:color w:val="0000FF"/>
                  <w:sz w:val="20"/>
                  <w:u w:val="single"/>
                </w:rPr>
                <w:t>Certificate</w:t>
              </w:r>
            </w:hyperlink>
          </w:p>
        </w:tc>
        <w:tc>
          <w:tcPr>
            <w:tcW w:w="529"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S-1/A</w:t>
            </w:r>
          </w:p>
        </w:tc>
        <w:tc>
          <w:tcPr>
            <w:tcW w:w="908"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333-203272</w:t>
            </w:r>
          </w:p>
        </w:tc>
        <w:tc>
          <w:tcPr>
            <w:tcW w:w="664"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4.1</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April 27, 2015</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10.1</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w:anchor="atyr-ex10_1.htm">
              <w:r>
                <w:rPr>
                  <w:rStyle w:val="InternetLink"/>
                  <w:rFonts w:ascii="Times New Roman" w:hAnsi="Times New Roman"/>
                  <w:color w:val="0000FF"/>
                  <w:sz w:val="20"/>
                  <w:u w:val="single"/>
                </w:rPr>
                <w:t>aTyr Pharma, Inc. 2015 Stock Option and Incentive Plan, as amended</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31.1</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w:anchor="atyr-ex31_1.htm">
              <w:r>
                <w:rPr>
                  <w:rStyle w:val="InternetLink"/>
                  <w:rFonts w:ascii="Times New Roman" w:hAnsi="Times New Roman"/>
                  <w:color w:val="0000FF"/>
                  <w:sz w:val="20"/>
                  <w:u w:val="single"/>
                </w:rPr>
                <w:t>Certification of Principal Executive Officer required by Rule 13a-14(a) or Rule 15d-14(a) of the Securities Exchange Act of 1934, as adopted pursuant to Section 302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31.2</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w:anchor="atyr-ex31_2.htm">
              <w:r>
                <w:rPr>
                  <w:rStyle w:val="InternetLink"/>
                  <w:rFonts w:ascii="Times New Roman" w:hAnsi="Times New Roman"/>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32.1#</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w:anchor="atyr-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Furnished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32.2#</w:t>
            </w:r>
          </w:p>
        </w:tc>
        <w:tc>
          <w:tcPr>
            <w:tcW w:w="5862" w:type="dxa"/>
            <w:tcBorders/>
            <w:tcMar>
              <w:top w:w="0" w:type="dxa"/>
              <w:left w:w="0" w:type="dxa"/>
              <w:bottom w:w="0" w:type="dxa"/>
              <w:right w:w="0" w:type="dxa"/>
            </w:tcMar>
            <w:vAlign w:val="center"/>
          </w:tcPr>
          <w:p>
            <w:pPr>
              <w:pStyle w:val="TableContents"/>
              <w:bidi w:val="0"/>
              <w:spacing w:before="0" w:after="200"/>
              <w:jc w:val="left"/>
              <w:rPr/>
            </w:pPr>
            <w:hyperlink w:anchor="atyr-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29"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000000"/>
              </w:rPr>
            </w:pPr>
            <w:r>
              <w:rPr>
                <w:color w:val="000000"/>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Furnished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101.INS</w:t>
            </w:r>
          </w:p>
        </w:tc>
        <w:tc>
          <w:tcPr>
            <w:tcW w:w="5862"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29"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jc w:val="center"/>
              <w:rPr>
                <w:rFonts w:ascii="Times New Roman" w:hAnsi="Times New Roman"/>
                <w:color w:val="000000"/>
                <w:sz w:val="20"/>
              </w:rPr>
            </w:pPr>
            <w:r>
              <w:rPr>
                <w:rFonts w:ascii="Times New Roman" w:hAnsi="Times New Roman"/>
                <w:color w:val="000000"/>
                <w:sz w:val="20"/>
              </w:rPr>
              <w:t>101.SCH</w:t>
            </w:r>
          </w:p>
        </w:tc>
        <w:tc>
          <w:tcPr>
            <w:tcW w:w="5862"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529"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1296" w:type="dxa"/>
            <w:tcBorders/>
            <w:tcMar>
              <w:top w:w="0" w:type="dxa"/>
              <w:left w:w="0" w:type="dxa"/>
              <w:bottom w:w="0" w:type="dxa"/>
              <w:right w:w="0" w:type="dxa"/>
            </w:tcMar>
            <w:vAlign w:val="center"/>
          </w:tcPr>
          <w:p>
            <w:pPr>
              <w:pStyle w:val="TableContents"/>
              <w:bidi w:val="0"/>
              <w:spacing w:before="0" w:after="200"/>
              <w:ind w:left="0" w:right="0" w:firstLine="240"/>
              <w:jc w:val="right"/>
              <w:rPr>
                <w:rFonts w:ascii="Times New Roman" w:hAnsi="Times New Roman"/>
                <w:color w:val="000000"/>
                <w:sz w:val="20"/>
              </w:rPr>
            </w:pPr>
            <w:r>
              <w:rPr>
                <w:rFonts w:ascii="Times New Roman" w:hAnsi="Times New Roman"/>
                <w:color w:val="000000"/>
                <w:sz w:val="20"/>
              </w:rPr>
              <w:t>Filed herewith</w:t>
            </w:r>
          </w:p>
        </w:tc>
      </w:tr>
      <w:tr>
        <w:trPr/>
        <w:tc>
          <w:tcPr>
            <w:tcW w:w="946" w:type="dxa"/>
            <w:tcBorders/>
            <w:tcMar>
              <w:top w:w="0" w:type="dxa"/>
              <w:left w:w="0" w:type="dxa"/>
              <w:bottom w:w="0" w:type="dxa"/>
              <w:right w:w="0" w:type="dxa"/>
            </w:tcMar>
            <w:vAlign w:val="center"/>
          </w:tcPr>
          <w:p>
            <w:pPr>
              <w:pStyle w:val="TableContents"/>
              <w:bidi w:val="0"/>
              <w:spacing w:before="0" w:after="200"/>
              <w:ind w:left="0" w:right="0" w:firstLine="240"/>
              <w:jc w:val="center"/>
              <w:rPr>
                <w:rFonts w:ascii="Times New Roman" w:hAnsi="Times New Roman"/>
                <w:color w:val="000000"/>
                <w:sz w:val="20"/>
              </w:rPr>
            </w:pPr>
            <w:r>
              <w:rPr>
                <w:rFonts w:ascii="Times New Roman" w:hAnsi="Times New Roman"/>
                <w:color w:val="000000"/>
                <w:sz w:val="20"/>
              </w:rPr>
              <w:t>104</w:t>
            </w:r>
          </w:p>
        </w:tc>
        <w:tc>
          <w:tcPr>
            <w:tcW w:w="5862" w:type="dxa"/>
            <w:tcBorders/>
            <w:tcMar>
              <w:top w:w="0" w:type="dxa"/>
              <w:left w:w="0" w:type="dxa"/>
              <w:bottom w:w="0" w:type="dxa"/>
              <w:right w:w="0" w:type="dxa"/>
            </w:tcMar>
            <w:vAlign w:val="center"/>
          </w:tcPr>
          <w:p>
            <w:pPr>
              <w:pStyle w:val="TableContents"/>
              <w:bidi w:val="0"/>
              <w:spacing w:before="0" w:after="8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29"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908"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664" w:type="dxa"/>
            <w:tcBorders/>
            <w:tcMar>
              <w:top w:w="0" w:type="dxa"/>
              <w:left w:w="0" w:type="dxa"/>
              <w:bottom w:w="0" w:type="dxa"/>
              <w:right w:w="0" w:type="dxa"/>
            </w:tcMar>
            <w:vAlign w:val="center"/>
          </w:tcPr>
          <w:p>
            <w:pPr>
              <w:pStyle w:val="TableContents"/>
              <w:bidi w:val="0"/>
              <w:spacing w:before="0" w:after="200"/>
              <w:jc w:val="center"/>
              <w:rPr>
                <w:color w:val="252525"/>
              </w:rPr>
            </w:pPr>
            <w:r>
              <w:rPr>
                <w:color w:val="252525"/>
              </w:rPr>
              <w:t>—</w:t>
            </w:r>
          </w:p>
        </w:tc>
        <w:tc>
          <w:tcPr>
            <w:tcW w:w="1296" w:type="dxa"/>
            <w:tcBorders/>
            <w:tcMar>
              <w:top w:w="0" w:type="dxa"/>
              <w:left w:w="0" w:type="dxa"/>
              <w:bottom w:w="0" w:type="dxa"/>
              <w:right w:w="0" w:type="dxa"/>
            </w:tcMar>
            <w:vAlign w:val="center"/>
          </w:tcPr>
          <w:p>
            <w:pPr>
              <w:pStyle w:val="TableContents"/>
              <w:bidi w:val="0"/>
              <w:spacing w:before="0" w:after="200"/>
              <w:jc w:val="righ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16"/>
        </w:rPr>
      </w:pPr>
      <w:r>
        <w:rPr>
          <w:rFonts w:ascii="Times New Roman" w:hAnsi="Times New Roman"/>
          <w:color w:val="000000"/>
          <w:sz w:val="16"/>
        </w:rPr>
        <w:t># 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4" w:name="signatures"/>
      <w:bookmarkEnd w:id="24"/>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9" w:type="dxa"/>
        <w:jc w:val="left"/>
        <w:tblInd w:w="0" w:type="dxa"/>
        <w:tblLayout w:type="fixed"/>
        <w:tblCellMar>
          <w:top w:w="28" w:type="dxa"/>
          <w:left w:w="28" w:type="dxa"/>
          <w:bottom w:w="28" w:type="dxa"/>
          <w:right w:w="28" w:type="dxa"/>
        </w:tblCellMar>
      </w:tblPr>
      <w:tblGrid>
        <w:gridCol w:w="1741"/>
        <w:gridCol w:w="406"/>
        <w:gridCol w:w="146"/>
        <w:gridCol w:w="400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S. Shukla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Chief Executive Officer and Director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atyr-ex3_7.htm"/>
      <w:bookmarkStart w:id="26" w:name="ksatyrex3_7"/>
      <w:bookmarkEnd w:id="25"/>
      <w:bookmarkEnd w:id="26"/>
      <w:r>
        <w:rPr>
          <w:rFonts w:ascii="Times New Roman" w:hAnsi="Times New Roman"/>
          <w:b/>
          <w:color w:val="000000"/>
          <w:sz w:val="20"/>
        </w:rPr>
        <w:t>Exhibit 3.7</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 THE</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RESTATED CERTIFICATE OF INCORPORATION</w:t>
        <w:br/>
        <w:t>OF</w:t>
        <w:br/>
        <w:t>ATYR PHARMA, INC.</w:t>
      </w:r>
    </w:p>
    <w:p>
      <w:pPr>
        <w:pStyle w:val="TextBody"/>
        <w:bidi w:val="0"/>
        <w:jc w:val="both"/>
        <w:rPr>
          <w:rFonts w:ascii="Times New Roman" w:hAnsi="Times New Roman"/>
          <w:sz w:val="20"/>
        </w:rPr>
      </w:pPr>
      <w:r>
        <w:rPr>
          <w:rFonts w:ascii="Times New Roman" w:hAnsi="Times New Roman"/>
          <w:color w:val="000000"/>
          <w:sz w:val="20"/>
        </w:rPr>
        <w:t>aTyr Pharma, Inc. (the “</w:t>
      </w:r>
      <w:r>
        <w:rPr>
          <w:rFonts w:ascii="Times New Roman" w:hAnsi="Times New Roman"/>
          <w:b/>
          <w:color w:val="000000"/>
          <w:sz w:val="20"/>
        </w:rPr>
        <w:t>Corporation</w:t>
      </w:r>
      <w:r>
        <w:rPr>
          <w:rFonts w:ascii="Times New Roman" w:hAnsi="Times New Roman"/>
          <w:color w:val="000000"/>
          <w:sz w:val="20"/>
        </w:rPr>
        <w:t>”), a corporation organized and existing under the laws of the State of Delaware, hereby certifies as follows:</w:t>
      </w:r>
    </w:p>
    <w:p>
      <w:pPr>
        <w:pStyle w:val="Heading1"/>
        <w:bidi w:val="0"/>
        <w:spacing w:before="360" w:after="283"/>
        <w:jc w:val="both"/>
        <w:rPr>
          <w:rFonts w:ascii="Times New Roman" w:hAnsi="Times New Roman"/>
          <w:sz w:val="20"/>
        </w:rPr>
      </w:pPr>
      <w:r>
        <w:rPr>
          <w:rFonts w:ascii="Times New Roman" w:hAnsi="Times New Roman"/>
          <w:color w:val="000000"/>
          <w:sz w:val="20"/>
        </w:rPr>
        <w:t xml:space="preserve">FIRST: </w:t>
      </w:r>
      <w:r>
        <w:rPr>
          <w:rFonts w:ascii="Times New Roman" w:hAnsi="Times New Roman"/>
          <w:b w:val="false"/>
          <w:color w:val="000000"/>
          <w:sz w:val="20"/>
        </w:rPr>
        <w:t>That the name of the Corporation is aTyr Pharma, Inc. The date of the filing of its original Certificate of Incorporation with the Secretary of State of Delaware was September 8, 2005.</w:t>
      </w:r>
    </w:p>
    <w:p>
      <w:pPr>
        <w:pStyle w:val="Heading1"/>
        <w:bidi w:val="0"/>
        <w:spacing w:before="360" w:after="283"/>
        <w:jc w:val="both"/>
        <w:rPr>
          <w:rFonts w:ascii="Times New Roman" w:hAnsi="Times New Roman"/>
          <w:sz w:val="20"/>
        </w:rPr>
      </w:pPr>
      <w:r>
        <w:rPr>
          <w:rFonts w:ascii="Times New Roman" w:hAnsi="Times New Roman"/>
          <w:color w:val="000000"/>
          <w:sz w:val="20"/>
        </w:rPr>
        <w:t xml:space="preserve">SECOND: </w:t>
      </w:r>
      <w:r>
        <w:rPr>
          <w:rFonts w:ascii="Times New Roman" w:hAnsi="Times New Roman"/>
          <w:b w:val="false"/>
          <w:color w:val="000000"/>
          <w:sz w:val="20"/>
        </w:rPr>
        <w:t>That the Board of Directors of the Corporation duly adopted resolutions approving the following amendment of the Restated Certificate of Incorporation, declaring said amendment to be advisable and providing for such consideration of such amendment at the Corporation’s annual meeting of the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THIRD: </w:t>
      </w:r>
      <w:r>
        <w:rPr>
          <w:rFonts w:ascii="Times New Roman" w:hAnsi="Times New Roman"/>
          <w:color w:val="000000"/>
          <w:sz w:val="20"/>
        </w:rPr>
        <w:t>On May 11, 2026, the Corporation’s annual meeting of the stockholders was duly called and held, upon notice in accordance with Section 222 of the Delaware General Corporation Law, at which meeting the necessary number of shares as required by statute were voted in favor of the amendment.</w:t>
      </w:r>
    </w:p>
    <w:p>
      <w:pPr>
        <w:pStyle w:val="TextBody"/>
        <w:bidi w:val="0"/>
        <w:spacing w:before="240" w:after="283"/>
        <w:jc w:val="both"/>
        <w:rPr>
          <w:rFonts w:ascii="Times New Roman" w:hAnsi="Times New Roman"/>
          <w:sz w:val="20"/>
        </w:rPr>
      </w:pPr>
      <w:r>
        <w:rPr>
          <w:rFonts w:ascii="Times New Roman" w:hAnsi="Times New Roman"/>
          <w:b/>
          <w:color w:val="000000"/>
          <w:sz w:val="20"/>
        </w:rPr>
        <w:t>FOURTH</w:t>
      </w:r>
      <w:r>
        <w:rPr>
          <w:rFonts w:ascii="Times New Roman" w:hAnsi="Times New Roman"/>
          <w:color w:val="000000"/>
          <w:sz w:val="20"/>
        </w:rPr>
        <w:t>: The first sentence of Article IV of the Restated Certificate of Incorporation of the Corporation is hereby amended and restated to read in its entirety as follows:</w:t>
      </w:r>
    </w:p>
    <w:p>
      <w:pPr>
        <w:pStyle w:val="TextBody"/>
        <w:bidi w:val="0"/>
        <w:spacing w:before="240" w:after="283"/>
        <w:jc w:val="both"/>
        <w:rPr>
          <w:rFonts w:ascii="Times New Roman" w:hAnsi="Times New Roman"/>
          <w:sz w:val="20"/>
        </w:rPr>
      </w:pPr>
      <w:r>
        <w:rPr>
          <w:rFonts w:ascii="Times New Roman" w:hAnsi="Times New Roman"/>
          <w:color w:val="000000"/>
          <w:sz w:val="20"/>
        </w:rPr>
        <w:t>The total number of shares of capital stock which the Corporation shall have authority to issue is Three Hundred Forty-Seven Million Two Hundred Eighty-Five Thousand Four Hundred Fifty-Six (347,285,456), of which (i) Three Hundred and Forty Million (340,000,000) shares shall be a class designated as common stock, par value $0.001 per share (the “</w:t>
      </w:r>
      <w:r>
        <w:rPr>
          <w:rFonts w:ascii="Times New Roman" w:hAnsi="Times New Roman"/>
          <w:b/>
          <w:color w:val="000000"/>
          <w:sz w:val="20"/>
        </w:rPr>
        <w:t>Common Stock</w:t>
      </w:r>
      <w:r>
        <w:rPr>
          <w:rFonts w:ascii="Times New Roman" w:hAnsi="Times New Roman"/>
          <w:color w:val="000000"/>
          <w:sz w:val="20"/>
        </w:rPr>
        <w:t>”), and (ii) Seven Million Two Hundred Eighty-Five Thousand Four Hundred Fifty Six (7,285,456) shares shall be a class designated as preferred stock, par value $0.001 per share (the “</w:t>
      </w:r>
      <w:r>
        <w:rPr>
          <w:rFonts w:ascii="Times New Roman" w:hAnsi="Times New Roman"/>
          <w:b/>
          <w:color w:val="000000"/>
          <w:sz w:val="20"/>
        </w:rPr>
        <w:t>Preferred Stock</w:t>
      </w:r>
      <w:r>
        <w:rPr>
          <w:rFonts w:ascii="Times New Roman" w:hAnsi="Times New Roman"/>
          <w:color w:val="000000"/>
          <w:sz w:val="20"/>
        </w:rPr>
        <w:t>”), of which 72,000 shares are designated Series B Convertible Preferred Stock (“</w:t>
      </w:r>
      <w:r>
        <w:rPr>
          <w:rFonts w:ascii="Times New Roman" w:hAnsi="Times New Roman"/>
          <w:b/>
          <w:color w:val="000000"/>
          <w:sz w:val="20"/>
        </w:rPr>
        <w:t>Series B Preferred</w:t>
      </w:r>
      <w:r>
        <w:rPr>
          <w:rFonts w:ascii="Times New Roman" w:hAnsi="Times New Roman"/>
          <w:color w:val="000000"/>
          <w:sz w:val="20"/>
        </w:rPr>
        <w:t xml:space="preserve"> </w:t>
      </w:r>
      <w:r>
        <w:rPr>
          <w:rFonts w:ascii="Times New Roman" w:hAnsi="Times New Roman"/>
          <w:b/>
          <w:color w:val="000000"/>
          <w:sz w:val="20"/>
        </w:rPr>
        <w:t>Stock</w:t>
      </w:r>
      <w:r>
        <w:rPr>
          <w:rFonts w:ascii="Times New Roman" w:hAnsi="Times New Roman"/>
          <w:color w:val="000000"/>
          <w:sz w:val="20"/>
        </w:rPr>
        <w:t>”), 15,957 shares are designated Series C Convertible Preferred Stock (“</w:t>
      </w:r>
      <w:r>
        <w:rPr>
          <w:rFonts w:ascii="Times New Roman" w:hAnsi="Times New Roman"/>
          <w:b/>
          <w:color w:val="000000"/>
          <w:sz w:val="20"/>
        </w:rPr>
        <w:t>Series C Preferred</w:t>
      </w:r>
      <w:r>
        <w:rPr>
          <w:rFonts w:ascii="Times New Roman" w:hAnsi="Times New Roman"/>
          <w:color w:val="000000"/>
          <w:sz w:val="20"/>
        </w:rPr>
        <w:t xml:space="preserve"> </w:t>
      </w:r>
      <w:r>
        <w:rPr>
          <w:rFonts w:ascii="Times New Roman" w:hAnsi="Times New Roman"/>
          <w:b/>
          <w:color w:val="000000"/>
          <w:sz w:val="20"/>
        </w:rPr>
        <w:t>Stock</w:t>
      </w:r>
      <w:r>
        <w:rPr>
          <w:rFonts w:ascii="Times New Roman" w:hAnsi="Times New Roman"/>
          <w:color w:val="000000"/>
          <w:sz w:val="20"/>
        </w:rPr>
        <w:t>”), 2,197,499 shares are designated Series D Convertible Preferred Stock (“</w:t>
      </w:r>
      <w:r>
        <w:rPr>
          <w:rFonts w:ascii="Times New Roman" w:hAnsi="Times New Roman"/>
          <w:b/>
          <w:color w:val="000000"/>
          <w:sz w:val="20"/>
        </w:rPr>
        <w:t>Series D Preferred Stock</w:t>
      </w:r>
      <w:r>
        <w:rPr>
          <w:rFonts w:ascii="Times New Roman" w:hAnsi="Times New Roman"/>
          <w:color w:val="000000"/>
          <w:sz w:val="20"/>
        </w:rPr>
        <w:t>”, and together with the Series B Preferred Stock and Series C Preferred Stock, the “</w:t>
      </w:r>
      <w:r>
        <w:rPr>
          <w:rFonts w:ascii="Times New Roman" w:hAnsi="Times New Roman"/>
          <w:b/>
          <w:color w:val="000000"/>
          <w:sz w:val="20"/>
        </w:rPr>
        <w:t>Designated Preferred Stock</w:t>
      </w:r>
      <w:r>
        <w:rPr>
          <w:rFonts w:ascii="Times New Roman" w:hAnsi="Times New Roman"/>
          <w:color w:val="000000"/>
          <w:sz w:val="20"/>
        </w:rPr>
        <w:t>”), and Five Million (5,000,000) shares shall be undesignated preferred stock (the “Undesignated Preferred Stock”).</w:t>
      </w:r>
    </w:p>
    <w:p>
      <w:pPr>
        <w:pStyle w:val="TextBody"/>
        <w:bidi w:val="0"/>
        <w:spacing w:before="240" w:after="283"/>
        <w:jc w:val="both"/>
        <w:rPr>
          <w:rFonts w:ascii="Times New Roman" w:hAnsi="Times New Roman"/>
          <w:sz w:val="20"/>
        </w:rPr>
      </w:pPr>
      <w:r>
        <w:rPr>
          <w:rFonts w:ascii="Times New Roman" w:hAnsi="Times New Roman"/>
          <w:b/>
          <w:color w:val="000000"/>
          <w:sz w:val="20"/>
        </w:rPr>
        <w:t>FIFTH:</w:t>
      </w:r>
      <w:r>
        <w:rPr>
          <w:rFonts w:ascii="Times New Roman" w:hAnsi="Times New Roman"/>
          <w:color w:val="000000"/>
          <w:sz w:val="20"/>
        </w:rPr>
        <w:t xml:space="preserve"> That this Certificate of Amendment to the Restated Certificate of Incorporation has been duly adopted in accordance with the applicable provisions of Section 242 of the Delaware General Corporation Law and shall be effective on and as of the date of filing with the Secretary of State of the State of Delaware.</w:t>
      </w:r>
    </w:p>
    <w:p>
      <w:pPr>
        <w:pStyle w:val="TextBody"/>
        <w:bidi w:val="0"/>
        <w:spacing w:before="240" w:after="24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Certificate of Amendment to the Restated Certificate of Incorporation has been executed by a duly authorized officer of this Corporation on this 11</w:t>
      </w:r>
      <w:r>
        <w:rPr>
          <w:rFonts w:ascii="Times New Roman" w:hAnsi="Times New Roman"/>
          <w:color w:val="000000"/>
          <w:sz w:val="13"/>
        </w:rPr>
        <w:t>th</w:t>
      </w:r>
      <w:r>
        <w:rPr>
          <w:rFonts w:ascii="Times New Roman" w:hAnsi="Times New Roman"/>
          <w:color w:val="000000"/>
          <w:sz w:val="20"/>
        </w:rPr>
        <w:t xml:space="preserve"> day of May, 2026.</w:t>
      </w:r>
    </w:p>
    <w:tbl>
      <w:tblPr>
        <w:tblW w:w="3778" w:type="dxa"/>
        <w:jc w:val="left"/>
        <w:tblInd w:w="0" w:type="dxa"/>
        <w:tblLayout w:type="fixed"/>
        <w:tblCellMar>
          <w:top w:w="28" w:type="dxa"/>
          <w:left w:w="28" w:type="dxa"/>
          <w:bottom w:w="28" w:type="dxa"/>
          <w:right w:w="28" w:type="dxa"/>
        </w:tblCellMar>
      </w:tblPr>
      <w:tblGrid>
        <w:gridCol w:w="421"/>
        <w:gridCol w:w="3166"/>
        <w:gridCol w:w="191"/>
      </w:tblGrid>
      <w:tr>
        <w:trPr/>
        <w:tc>
          <w:tcPr>
            <w:tcW w:w="42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By:</w:t>
            </w:r>
          </w:p>
        </w:tc>
        <w:tc>
          <w:tcPr>
            <w:tcW w:w="3166" w:type="dxa"/>
            <w:tcBorders>
              <w:bottom w:val="single" w:sz="4" w:space="0" w:color="000000"/>
            </w:tcBorders>
            <w:tcMar>
              <w:top w:w="0" w:type="dxa"/>
              <w:left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/S/ Sanjay S. Shukla</w:t>
            </w:r>
          </w:p>
        </w:tc>
        <w:tc>
          <w:tcPr>
            <w:tcW w:w="191" w:type="dxa"/>
            <w:tcBorders>
              <w:bottom w:val="single" w:sz="4"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240" w:after="283"/>
              <w:jc w:val="left"/>
              <w:rPr/>
            </w:pPr>
            <w:r>
              <w:rPr/>
              <w:t> </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7" w:name="atyr-ex10_1.htm"/>
      <w:bookmarkStart w:id="28" w:name="ksatyrex10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ATYR PHARMA,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2015 STOCK OPTION AND INCENTIVE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(as amended)</w:t>
      </w:r>
    </w:p>
    <w:p>
      <w:pPr>
        <w:pStyle w:val="Heading1"/>
        <w:bidi w:val="0"/>
        <w:spacing w:before="240" w:after="283"/>
        <w:jc w:val="left"/>
        <w:rPr>
          <w:rFonts w:ascii="Times New Roman" w:hAnsi="Times New Roman"/>
          <w:b w:val="false"/>
          <w:color w:val="000000"/>
          <w:sz w:val="20"/>
        </w:rPr>
      </w:pPr>
      <w:r>
        <w:rPr>
          <w:rFonts w:ascii="Times New Roman" w:hAnsi="Times New Roman"/>
          <w:b w:val="false"/>
          <w:color w:val="000000"/>
          <w:sz w:val="20"/>
        </w:rPr>
        <w:t>SECTION 1. GENERAL PURPOSE OF THE PLAN; DEFINITIONS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name of the plan is the aTyr Pharma, Inc. 2015 Stock Option and Incentive Plan (the “Plan”). The purpose of the Plan is to encourage and enable the officers, employees, Non-Employee Directors and Consultants of aTyr Pharma, Inc., a Delaware corporation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terms shall be defined as set forth below:</w:t>
      </w:r>
    </w:p>
    <w:p>
      <w:pPr>
        <w:pStyle w:val="TextBody"/>
        <w:bidi w:val="0"/>
        <w:spacing w:before="240" w:after="283"/>
        <w:jc w:val="both"/>
        <w:rPr/>
      </w:pPr>
      <w:r>
        <w:rPr>
          <w:color w:val="000000"/>
        </w:rPr>
        <w:t>“</w:t>
      </w:r>
      <w:r>
        <w:rPr>
          <w:rFonts w:ascii="Times New Roman" w:hAnsi="Times New Roman"/>
          <w:i/>
          <w:color w:val="000000"/>
          <w:sz w:val="20"/>
        </w:rPr>
        <w:t>Act”</w:t>
      </w:r>
      <w:r>
        <w:rPr>
          <w:rFonts w:ascii="Times New Roman" w:hAnsi="Times New Roman"/>
          <w:color w:val="000000"/>
          <w:sz w:val="20"/>
        </w:rPr>
        <w:t xml:space="preserve"> means the Securities Act of 1933, as amended, and the rules and regulations thereunder.</w:t>
      </w:r>
    </w:p>
    <w:p>
      <w:pPr>
        <w:pStyle w:val="TextBody"/>
        <w:bidi w:val="0"/>
        <w:spacing w:before="240" w:after="283"/>
        <w:jc w:val="both"/>
        <w:rPr/>
      </w:pPr>
      <w:r>
        <w:rPr>
          <w:color w:val="000000"/>
        </w:rPr>
        <w:t>“</w:t>
      </w:r>
      <w:r>
        <w:rPr>
          <w:rFonts w:ascii="Times New Roman" w:hAnsi="Times New Roman"/>
          <w:i/>
          <w:color w:val="000000"/>
          <w:sz w:val="20"/>
        </w:rPr>
        <w:t>Administrator”</w:t>
      </w:r>
      <w:r>
        <w:rPr>
          <w:rFonts w:ascii="Times New Roman" w:hAnsi="Times New Roman"/>
          <w:color w:val="000000"/>
          <w:sz w:val="20"/>
        </w:rPr>
        <w:t xml:space="preserve"> means either the Board or the compensation committee of the Board or a similar committee performing the functions of the compensation committee and which is comprised of not less than two Non</w:t>
        <w:noBreakHyphen/>
        <w:t>Employee Directors who are independent.</w:t>
      </w:r>
    </w:p>
    <w:p>
      <w:pPr>
        <w:pStyle w:val="TextBody"/>
        <w:bidi w:val="0"/>
        <w:spacing w:before="240" w:after="283"/>
        <w:jc w:val="both"/>
        <w:rPr/>
      </w:pPr>
      <w:r>
        <w:rPr>
          <w:color w:val="000000"/>
        </w:rPr>
        <w:t>“</w:t>
      </w:r>
      <w:r>
        <w:rPr>
          <w:rFonts w:ascii="Times New Roman" w:hAnsi="Times New Roman"/>
          <w:i/>
          <w:color w:val="000000"/>
          <w:sz w:val="20"/>
        </w:rPr>
        <w:t>Award”</w:t>
      </w:r>
      <w:r>
        <w:rPr>
          <w:rFonts w:ascii="Times New Roman" w:hAnsi="Times New Roman"/>
          <w:color w:val="000000"/>
          <w:sz w:val="20"/>
        </w:rPr>
        <w:t xml:space="preserve"> or “</w:t>
      </w:r>
      <w:r>
        <w:rPr>
          <w:rFonts w:ascii="Times New Roman" w:hAnsi="Times New Roman"/>
          <w:i/>
          <w:color w:val="000000"/>
          <w:sz w:val="20"/>
        </w:rPr>
        <w:t>Awards,”</w:t>
      </w:r>
      <w:r>
        <w:rPr>
          <w:rFonts w:ascii="Times New Roman" w:hAnsi="Times New Roman"/>
          <w:color w:val="000000"/>
          <w:sz w:val="20"/>
        </w:rPr>
        <w:t xml:space="preserve"> except where referring to a particular category of grant under the Plan, shall include Incentive Stock Options, Non-Qualified Stock Options, Stock Appreciation Rights, Restricted Stock Units, Restricted Stock Awards, Unrestricted Stock Awards, Cash-Based Awards, Performance Share Awards and Dividend Equivalent Rights.</w:t>
      </w:r>
    </w:p>
    <w:p>
      <w:pPr>
        <w:pStyle w:val="TextBody"/>
        <w:bidi w:val="0"/>
        <w:spacing w:before="240" w:after="283"/>
        <w:jc w:val="both"/>
        <w:rPr/>
      </w:pPr>
      <w:r>
        <w:rPr>
          <w:color w:val="000000"/>
        </w:rPr>
        <w:t>“</w:t>
      </w:r>
      <w:r>
        <w:rPr>
          <w:rFonts w:ascii="Times New Roman" w:hAnsi="Times New Roman"/>
          <w:i/>
          <w:color w:val="000000"/>
          <w:sz w:val="20"/>
        </w:rPr>
        <w:t>Award Certificate”</w:t>
      </w:r>
      <w:r>
        <w:rPr>
          <w:rFonts w:ascii="Times New Roman" w:hAnsi="Times New Roman"/>
          <w:color w:val="000000"/>
          <w:sz w:val="20"/>
        </w:rPr>
        <w:t xml:space="preserve"> means a written or electronic document setting forth the terms and provisions applicable to an Award granted under the Plan. Each Award Certificate is subject to the terms and conditions of the Plan.</w:t>
      </w:r>
    </w:p>
    <w:p>
      <w:pPr>
        <w:pStyle w:val="TextBody"/>
        <w:bidi w:val="0"/>
        <w:spacing w:before="240" w:after="283"/>
        <w:jc w:val="both"/>
        <w:rPr/>
      </w:pPr>
      <w:r>
        <w:rPr>
          <w:color w:val="000000"/>
        </w:rPr>
        <w:t>“</w:t>
      </w:r>
      <w:r>
        <w:rPr>
          <w:rFonts w:ascii="Times New Roman" w:hAnsi="Times New Roman"/>
          <w:i/>
          <w:color w:val="000000"/>
          <w:sz w:val="20"/>
        </w:rPr>
        <w:t>Board”</w:t>
      </w:r>
      <w:r>
        <w:rPr>
          <w:rFonts w:ascii="Times New Roman" w:hAnsi="Times New Roman"/>
          <w:color w:val="000000"/>
          <w:sz w:val="20"/>
        </w:rPr>
        <w:t xml:space="preserve"> means the Board of Directors of the Company.</w:t>
      </w:r>
    </w:p>
    <w:p>
      <w:pPr>
        <w:pStyle w:val="TextBody"/>
        <w:bidi w:val="0"/>
        <w:spacing w:before="240" w:after="283"/>
        <w:jc w:val="both"/>
        <w:rPr/>
      </w:pPr>
      <w:r>
        <w:rPr>
          <w:color w:val="000000"/>
        </w:rPr>
        <w:t>“</w:t>
      </w:r>
      <w:r>
        <w:rPr>
          <w:rFonts w:ascii="Times New Roman" w:hAnsi="Times New Roman"/>
          <w:i/>
          <w:color w:val="000000"/>
          <w:sz w:val="20"/>
        </w:rPr>
        <w:t>Cash-Based Award”</w:t>
      </w:r>
      <w:r>
        <w:rPr>
          <w:rFonts w:ascii="Times New Roman" w:hAnsi="Times New Roman"/>
          <w:color w:val="000000"/>
          <w:sz w:val="20"/>
        </w:rPr>
        <w:t xml:space="preserve"> means an Award entitling the recipient to receive a cash-denominated payment.</w:t>
      </w:r>
    </w:p>
    <w:p>
      <w:pPr>
        <w:pStyle w:val="TextBody"/>
        <w:bidi w:val="0"/>
        <w:spacing w:before="240" w:after="283"/>
        <w:jc w:val="both"/>
        <w:rPr/>
      </w:pPr>
      <w:r>
        <w:rPr>
          <w:color w:val="000000"/>
        </w:rPr>
        <w:t>“</w:t>
      </w:r>
      <w:r>
        <w:rPr>
          <w:rFonts w:ascii="Times New Roman" w:hAnsi="Times New Roman"/>
          <w:i/>
          <w:color w:val="000000"/>
          <w:sz w:val="20"/>
        </w:rPr>
        <w:t>Code”</w:t>
      </w:r>
      <w:r>
        <w:rPr>
          <w:rFonts w:ascii="Times New Roman" w:hAnsi="Times New Roman"/>
          <w:color w:val="000000"/>
          <w:sz w:val="20"/>
        </w:rPr>
        <w:t xml:space="preserve"> means the Internal Revenue Code of 1986, as amended, and any successor Code, and related rules, regulations and interpretations.</w:t>
      </w:r>
    </w:p>
    <w:p>
      <w:pPr>
        <w:pStyle w:val="TextBody"/>
        <w:bidi w:val="0"/>
        <w:spacing w:before="240" w:after="283"/>
        <w:jc w:val="both"/>
        <w:rPr/>
      </w:pPr>
      <w:r>
        <w:rPr>
          <w:color w:val="000000"/>
        </w:rPr>
        <w:t>“</w:t>
      </w:r>
      <w:r>
        <w:rPr>
          <w:rFonts w:ascii="Times New Roman" w:hAnsi="Times New Roman"/>
          <w:i/>
          <w:color w:val="000000"/>
          <w:sz w:val="20"/>
        </w:rPr>
        <w:t>Consultant”</w:t>
      </w:r>
      <w:r>
        <w:rPr>
          <w:rFonts w:ascii="Times New Roman" w:hAnsi="Times New Roman"/>
          <w:color w:val="000000"/>
          <w:sz w:val="20"/>
        </w:rPr>
        <w:t xml:space="preserve"> means any natural person that provides bona fide services to the Company, and such services are not in connection with the offer or sale of securities in a capital-raising transaction and do not directly or indirectly promote or maintain a market for the Company’s securities.</w:t>
      </w:r>
    </w:p>
    <w:p>
      <w:pPr>
        <w:pStyle w:val="TextBody"/>
        <w:bidi w:val="0"/>
        <w:spacing w:before="240" w:after="283"/>
        <w:jc w:val="both"/>
        <w:rPr/>
      </w:pPr>
      <w:r>
        <w:rPr>
          <w:color w:val="000000"/>
        </w:rPr>
        <w:t>“</w:t>
      </w:r>
      <w:r>
        <w:rPr>
          <w:rFonts w:ascii="Times New Roman" w:hAnsi="Times New Roman"/>
          <w:i/>
          <w:color w:val="000000"/>
          <w:sz w:val="20"/>
        </w:rPr>
        <w:t>Covered Employee”</w:t>
      </w:r>
      <w:r>
        <w:rPr>
          <w:rFonts w:ascii="Times New Roman" w:hAnsi="Times New Roman"/>
          <w:color w:val="000000"/>
          <w:sz w:val="20"/>
        </w:rPr>
        <w:t xml:space="preserve"> means an employee who is a “Covered Employee” within the meaning of Section 162(m) of the Code.</w:t>
      </w:r>
    </w:p>
    <w:p>
      <w:pPr>
        <w:pStyle w:val="TextBody"/>
        <w:bidi w:val="0"/>
        <w:spacing w:before="240" w:after="283"/>
        <w:jc w:val="both"/>
        <w:rPr/>
      </w:pPr>
      <w:r>
        <w:rPr>
          <w:color w:val="000000"/>
        </w:rPr>
        <w:t>“</w:t>
      </w:r>
      <w:r>
        <w:rPr>
          <w:rFonts w:ascii="Times New Roman" w:hAnsi="Times New Roman"/>
          <w:i/>
          <w:color w:val="000000"/>
          <w:sz w:val="20"/>
        </w:rPr>
        <w:t>Dividend Equivalent Right”</w:t>
      </w:r>
      <w:r>
        <w:rPr>
          <w:rFonts w:ascii="Times New Roman" w:hAnsi="Times New Roman"/>
          <w:color w:val="000000"/>
          <w:sz w:val="20"/>
        </w:rPr>
        <w:t xml:space="preserve"> means an Award entitling the grantee to receive credits based on cash dividends that would have been paid on the shares of Stock specified in the Dividend Equivalent Right (or other award to which it relates) if such shares had been issued to and held by the grantee.</w:t>
      </w:r>
    </w:p>
    <w:p>
      <w:pPr>
        <w:pStyle w:val="TextBody"/>
        <w:bidi w:val="0"/>
        <w:spacing w:before="240" w:after="283"/>
        <w:jc w:val="both"/>
        <w:rPr/>
      </w:pPr>
      <w:r>
        <w:rPr>
          <w:color w:val="000000"/>
        </w:rPr>
        <w:t>“</w:t>
      </w:r>
      <w:r>
        <w:rPr>
          <w:rFonts w:ascii="Times New Roman" w:hAnsi="Times New Roman"/>
          <w:i/>
          <w:color w:val="000000"/>
          <w:sz w:val="20"/>
        </w:rPr>
        <w:t>Effective Date”</w:t>
      </w:r>
      <w:r>
        <w:rPr>
          <w:rFonts w:ascii="Times New Roman" w:hAnsi="Times New Roman"/>
          <w:color w:val="000000"/>
          <w:sz w:val="20"/>
        </w:rPr>
        <w:t xml:space="preserve"> means the date set forth in Section 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0"/>
        </w:rPr>
        <w:t>Exchange Act”</w:t>
      </w:r>
      <w:r>
        <w:rPr>
          <w:rFonts w:ascii="Times New Roman" w:hAnsi="Times New Roman"/>
          <w:color w:val="000000"/>
          <w:sz w:val="20"/>
        </w:rPr>
        <w:t xml:space="preserve"> means the Securities Exchange Act of 1934, as amended, and the rules and regulations thereunder.</w:t>
      </w:r>
    </w:p>
    <w:p>
      <w:pPr>
        <w:pStyle w:val="TextBody"/>
        <w:bidi w:val="0"/>
        <w:spacing w:before="240" w:after="283"/>
        <w:jc w:val="both"/>
        <w:rPr/>
      </w:pPr>
      <w:r>
        <w:rPr>
          <w:color w:val="000000"/>
        </w:rPr>
        <w:t>“</w:t>
      </w:r>
      <w:r>
        <w:rPr>
          <w:rFonts w:ascii="Times New Roman" w:hAnsi="Times New Roman"/>
          <w:i/>
          <w:color w:val="000000"/>
          <w:sz w:val="20"/>
        </w:rPr>
        <w:t>Fair Market Value”</w:t>
      </w:r>
      <w:r>
        <w:rPr>
          <w:rFonts w:ascii="Times New Roman" w:hAnsi="Times New Roman"/>
          <w:color w:val="000000"/>
          <w:sz w:val="20"/>
        </w:rPr>
        <w:t xml:space="preserve"> of the Stock on any given date means the fair market value of the Stock determined in good faith by the Administrator; provided, however, that if the Stock is admitted to quotation on the National Association of Securities Dealers Automated Quotation System (“NASDAQ”), NASDAQ Global Market or another national securities exchange,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pStyle w:val="TextBody"/>
        <w:bidi w:val="0"/>
        <w:spacing w:before="240" w:after="283"/>
        <w:jc w:val="both"/>
        <w:rPr/>
      </w:pPr>
      <w:r>
        <w:rPr>
          <w:color w:val="000000"/>
        </w:rPr>
        <w:t>“</w:t>
      </w:r>
      <w:r>
        <w:rPr>
          <w:rFonts w:ascii="Times New Roman" w:hAnsi="Times New Roman"/>
          <w:i/>
          <w:color w:val="000000"/>
          <w:sz w:val="20"/>
        </w:rPr>
        <w:t>Incentive Stock Option”</w:t>
      </w:r>
      <w:r>
        <w:rPr>
          <w:rFonts w:ascii="Times New Roman" w:hAnsi="Times New Roman"/>
          <w:color w:val="000000"/>
          <w:sz w:val="20"/>
        </w:rPr>
        <w:t xml:space="preserve"> means any Stock Option designated and qualified as an “incentive stock option” as defined in Section 422 of the Code.</w:t>
      </w:r>
    </w:p>
    <w:p>
      <w:pPr>
        <w:pStyle w:val="TextBody"/>
        <w:bidi w:val="0"/>
        <w:spacing w:before="240" w:after="283"/>
        <w:jc w:val="both"/>
        <w:rPr/>
      </w:pPr>
      <w:r>
        <w:rPr>
          <w:color w:val="000000"/>
        </w:rPr>
        <w:t>“</w:t>
      </w:r>
      <w:r>
        <w:rPr>
          <w:rFonts w:ascii="Times New Roman" w:hAnsi="Times New Roman"/>
          <w:i/>
          <w:color w:val="000000"/>
          <w:sz w:val="20"/>
        </w:rPr>
        <w:t>Initial Public Offering”</w:t>
      </w:r>
      <w:r>
        <w:rPr>
          <w:rFonts w:ascii="Times New Roman" w:hAnsi="Times New Roman"/>
          <w:color w:val="000000"/>
          <w:sz w:val="20"/>
        </w:rPr>
        <w:t xml:space="preserve"> means the consummation of the first underwritten, firm commitment public offering pursuant to an effective registration statement under the Act covering the offer and sale by the Company of its equity securities, or such other event as a result of or following which the Stock shall be publicly held.</w:t>
      </w:r>
    </w:p>
    <w:p>
      <w:pPr>
        <w:pStyle w:val="TextBody"/>
        <w:bidi w:val="0"/>
        <w:spacing w:before="240" w:after="283"/>
        <w:jc w:val="both"/>
        <w:rPr/>
      </w:pPr>
      <w:r>
        <w:rPr>
          <w:color w:val="000000"/>
        </w:rPr>
        <w:t>“</w:t>
      </w:r>
      <w:r>
        <w:rPr>
          <w:rFonts w:ascii="Times New Roman" w:hAnsi="Times New Roman"/>
          <w:i/>
          <w:color w:val="000000"/>
          <w:sz w:val="20"/>
        </w:rPr>
        <w:t>Non-Employee Director”</w:t>
      </w:r>
      <w:r>
        <w:rPr>
          <w:rFonts w:ascii="Times New Roman" w:hAnsi="Times New Roman"/>
          <w:color w:val="000000"/>
          <w:sz w:val="20"/>
        </w:rPr>
        <w:t xml:space="preserve"> means a member of the Board who is not also an employee of the Company or any Subsidiary.</w:t>
      </w:r>
    </w:p>
    <w:p>
      <w:pPr>
        <w:pStyle w:val="TextBody"/>
        <w:bidi w:val="0"/>
        <w:spacing w:before="240" w:after="283"/>
        <w:jc w:val="both"/>
        <w:rPr/>
      </w:pPr>
      <w:r>
        <w:rPr>
          <w:color w:val="000000"/>
        </w:rPr>
        <w:t>“</w:t>
      </w:r>
      <w:r>
        <w:rPr>
          <w:rFonts w:ascii="Times New Roman" w:hAnsi="Times New Roman"/>
          <w:i/>
          <w:color w:val="000000"/>
          <w:sz w:val="20"/>
        </w:rPr>
        <w:t>Non-Qualified Stock Option”</w:t>
      </w:r>
      <w:r>
        <w:rPr>
          <w:rFonts w:ascii="Times New Roman" w:hAnsi="Times New Roman"/>
          <w:color w:val="000000"/>
          <w:sz w:val="20"/>
        </w:rPr>
        <w:t xml:space="preserve"> means any Stock Option that is not an Incentive Stock Option.</w:t>
      </w:r>
    </w:p>
    <w:p>
      <w:pPr>
        <w:pStyle w:val="TextBody"/>
        <w:bidi w:val="0"/>
        <w:spacing w:before="240" w:after="283"/>
        <w:jc w:val="both"/>
        <w:rPr/>
      </w:pPr>
      <w:r>
        <w:rPr>
          <w:color w:val="000000"/>
        </w:rPr>
        <w:t>“</w:t>
      </w:r>
      <w:r>
        <w:rPr>
          <w:rFonts w:ascii="Times New Roman" w:hAnsi="Times New Roman"/>
          <w:i/>
          <w:color w:val="000000"/>
          <w:sz w:val="20"/>
        </w:rPr>
        <w:t>Option”</w:t>
      </w:r>
      <w:r>
        <w:rPr>
          <w:rFonts w:ascii="Times New Roman" w:hAnsi="Times New Roman"/>
          <w:color w:val="000000"/>
          <w:sz w:val="20"/>
        </w:rPr>
        <w:t xml:space="preserve"> or “</w:t>
      </w:r>
      <w:r>
        <w:rPr>
          <w:rFonts w:ascii="Times New Roman" w:hAnsi="Times New Roman"/>
          <w:i/>
          <w:color w:val="000000"/>
          <w:sz w:val="20"/>
        </w:rPr>
        <w:t>Stock Option”</w:t>
      </w:r>
      <w:r>
        <w:rPr>
          <w:rFonts w:ascii="Times New Roman" w:hAnsi="Times New Roman"/>
          <w:color w:val="000000"/>
          <w:sz w:val="20"/>
        </w:rPr>
        <w:t xml:space="preserve"> means any option to purchase shares of Stock granted pursuant to Section 5.</w:t>
      </w:r>
    </w:p>
    <w:p>
      <w:pPr>
        <w:pStyle w:val="TextBody"/>
        <w:bidi w:val="0"/>
        <w:spacing w:before="240" w:after="283"/>
        <w:jc w:val="both"/>
        <w:rPr/>
      </w:pPr>
      <w:r>
        <w:rPr>
          <w:color w:val="000000"/>
        </w:rPr>
        <w:t>“</w:t>
      </w:r>
      <w:r>
        <w:rPr>
          <w:rFonts w:ascii="Times New Roman" w:hAnsi="Times New Roman"/>
          <w:i/>
          <w:color w:val="000000"/>
          <w:sz w:val="20"/>
        </w:rPr>
        <w:t>Performance-Based Award”</w:t>
      </w:r>
      <w:r>
        <w:rPr>
          <w:rFonts w:ascii="Times New Roman" w:hAnsi="Times New Roman"/>
          <w:color w:val="000000"/>
          <w:sz w:val="20"/>
        </w:rPr>
        <w:t xml:space="preserve"> means any Restricted Stock Award, Restricted Stock Units, Performance Share Award or Cash-Based Award granted to a Covered Employee that is intended to qualify as “performance-based compensation” under Section 162(m) of the Code and the regulations promulgated thereunder.</w:t>
      </w:r>
    </w:p>
    <w:p>
      <w:pPr>
        <w:pStyle w:val="TextBody"/>
        <w:bidi w:val="0"/>
        <w:spacing w:before="240" w:after="283"/>
        <w:jc w:val="both"/>
        <w:rPr/>
      </w:pPr>
      <w:r>
        <w:rPr>
          <w:color w:val="000000"/>
        </w:rPr>
        <w:t>“</w:t>
      </w:r>
      <w:r>
        <w:rPr>
          <w:rFonts w:ascii="Times New Roman" w:hAnsi="Times New Roman"/>
          <w:i/>
          <w:color w:val="000000"/>
          <w:sz w:val="20"/>
        </w:rPr>
        <w:t>Performance Criteria”</w:t>
      </w:r>
      <w:r>
        <w:rPr>
          <w:rFonts w:ascii="Times New Roman" w:hAnsi="Times New Roman"/>
          <w:color w:val="000000"/>
          <w:sz w:val="20"/>
        </w:rPr>
        <w:t xml:space="preserve"> means the criteria that the Administrator selects for purposes of establishing the Performance Goal or 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achievement of specified research and development, publication, clinical and/or regulatory milestones, total stockholder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 The Committee may appropriately adjust any evaluation performance under a Performance Criterion to exclude any of the following events that occurs during a Performance Cycle: (i) asset write-downs or impairments, (ii) litigation or claim judgments or settlements, (iii) the effect of changes in tax law, accounting principles or other such laws or provisions affecting reporting results, (iv) accruals for reorganizations and restructuring programs, (v) any extraordinary non-recurring items, including those described in the Financial Accounting Standards Board’s authoritative guidance and/or in management’s discussion and analysis of financial condition of operations appearing the Company’s annual report to stockholders for the applicable year, and (vi) any other extraordinary items adjusted from the Company U.S. GAAP results.</w:t>
      </w:r>
    </w:p>
    <w:p>
      <w:pPr>
        <w:pStyle w:val="TextBody"/>
        <w:bidi w:val="0"/>
        <w:spacing w:before="240" w:after="283"/>
        <w:jc w:val="both"/>
        <w:rPr/>
      </w:pPr>
      <w:r>
        <w:rPr>
          <w:color w:val="000000"/>
        </w:rPr>
        <w:t>“</w:t>
      </w:r>
      <w:r>
        <w:rPr>
          <w:rFonts w:ascii="Times New Roman" w:hAnsi="Times New Roman"/>
          <w:i/>
          <w:color w:val="000000"/>
          <w:sz w:val="20"/>
        </w:rPr>
        <w:t>Performance Cycle”</w:t>
      </w:r>
      <w:r>
        <w:rPr>
          <w:rFonts w:ascii="Times New Roman" w:hAnsi="Times New Roman"/>
          <w:color w:val="000000"/>
          <w:sz w:val="20"/>
        </w:rPr>
        <w:t xml:space="preserve"> means one or more periods of time, which may be of varying and overlapping durations, as the 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i/>
          <w:color w:val="000000"/>
          <w:sz w:val="20"/>
        </w:rPr>
        <w:t>Performance Goals”</w:t>
      </w:r>
      <w:r>
        <w:rPr>
          <w:rFonts w:ascii="Times New Roman" w:hAnsi="Times New Roman"/>
          <w:color w:val="000000"/>
          <w:sz w:val="20"/>
        </w:rPr>
        <w:t xml:space="preserve"> means, for a Performance Cycle, the specific goals established in writing by the Administrator for a Performance Cycle based upon the Performance Criteria.</w:t>
      </w:r>
    </w:p>
    <w:p>
      <w:pPr>
        <w:pStyle w:val="TextBody"/>
        <w:bidi w:val="0"/>
        <w:spacing w:before="240" w:after="283"/>
        <w:jc w:val="both"/>
        <w:rPr/>
      </w:pPr>
      <w:r>
        <w:rPr>
          <w:color w:val="000000"/>
        </w:rPr>
        <w:t>“</w:t>
      </w:r>
      <w:r>
        <w:rPr>
          <w:rFonts w:ascii="Times New Roman" w:hAnsi="Times New Roman"/>
          <w:i/>
          <w:color w:val="000000"/>
          <w:sz w:val="20"/>
        </w:rPr>
        <w:t>Performance Share Award”</w:t>
      </w:r>
      <w:r>
        <w:rPr>
          <w:rFonts w:ascii="Times New Roman" w:hAnsi="Times New Roman"/>
          <w:color w:val="000000"/>
          <w:sz w:val="20"/>
        </w:rPr>
        <w:t xml:space="preserve"> means an Award entitling the recipient to acquire shares of Stock upon the attainment of specified performance goals.</w:t>
      </w:r>
    </w:p>
    <w:p>
      <w:pPr>
        <w:pStyle w:val="TextBody"/>
        <w:bidi w:val="0"/>
        <w:spacing w:before="240" w:after="283"/>
        <w:jc w:val="both"/>
        <w:rPr/>
      </w:pPr>
      <w:r>
        <w:rPr>
          <w:color w:val="000000"/>
        </w:rPr>
        <w:t>“</w:t>
      </w:r>
      <w:r>
        <w:rPr>
          <w:rFonts w:ascii="Times New Roman" w:hAnsi="Times New Roman"/>
          <w:i/>
          <w:color w:val="000000"/>
          <w:sz w:val="20"/>
        </w:rPr>
        <w:t>Restricted Shares”</w:t>
      </w:r>
      <w:r>
        <w:rPr>
          <w:rFonts w:ascii="Times New Roman" w:hAnsi="Times New Roman"/>
          <w:color w:val="000000"/>
          <w:sz w:val="20"/>
        </w:rPr>
        <w:t xml:space="preserve"> means the shares of Stock underlying a Restricted Stock Award that remain subject to a risk of forfeiture or the Company’s right of repurchase.</w:t>
      </w:r>
    </w:p>
    <w:p>
      <w:pPr>
        <w:pStyle w:val="TextBody"/>
        <w:bidi w:val="0"/>
        <w:spacing w:before="240" w:after="283"/>
        <w:jc w:val="both"/>
        <w:rPr/>
      </w:pPr>
      <w:r>
        <w:rPr>
          <w:color w:val="000000"/>
        </w:rPr>
        <w:t>“</w:t>
      </w:r>
      <w:r>
        <w:rPr>
          <w:rFonts w:ascii="Times New Roman" w:hAnsi="Times New Roman"/>
          <w:i/>
          <w:color w:val="000000"/>
          <w:sz w:val="20"/>
        </w:rPr>
        <w:t>Restricted Stock Award”</w:t>
      </w:r>
      <w:r>
        <w:rPr>
          <w:rFonts w:ascii="Times New Roman" w:hAnsi="Times New Roman"/>
          <w:color w:val="000000"/>
          <w:sz w:val="20"/>
        </w:rPr>
        <w:t xml:space="preserve"> means an Award of Restricted Shares subject to such restrictions and conditions as the Administrator may determine at the time of grant.</w:t>
      </w:r>
    </w:p>
    <w:p>
      <w:pPr>
        <w:pStyle w:val="TextBody"/>
        <w:bidi w:val="0"/>
        <w:spacing w:before="240" w:after="283"/>
        <w:jc w:val="both"/>
        <w:rPr/>
      </w:pPr>
      <w:r>
        <w:rPr>
          <w:color w:val="000000"/>
        </w:rPr>
        <w:t>“</w:t>
      </w:r>
      <w:r>
        <w:rPr>
          <w:rFonts w:ascii="Times New Roman" w:hAnsi="Times New Roman"/>
          <w:i/>
          <w:color w:val="000000"/>
          <w:sz w:val="20"/>
        </w:rPr>
        <w:t>Restricted Stock Units”</w:t>
      </w:r>
      <w:r>
        <w:rPr>
          <w:rFonts w:ascii="Times New Roman" w:hAnsi="Times New Roman"/>
          <w:color w:val="000000"/>
          <w:sz w:val="20"/>
        </w:rPr>
        <w:t xml:space="preserve"> means an Award of stock units subject to such restrictions and conditions as the Administrator may determine at the time of grant.</w:t>
      </w:r>
    </w:p>
    <w:p>
      <w:pPr>
        <w:pStyle w:val="TextBody"/>
        <w:bidi w:val="0"/>
        <w:spacing w:before="240" w:after="283"/>
        <w:jc w:val="both"/>
        <w:rPr/>
      </w:pPr>
      <w:r>
        <w:rPr>
          <w:color w:val="000000"/>
        </w:rPr>
        <w:t>“</w:t>
      </w:r>
      <w:r>
        <w:rPr>
          <w:rFonts w:ascii="Times New Roman" w:hAnsi="Times New Roman"/>
          <w:i/>
          <w:color w:val="000000"/>
          <w:sz w:val="20"/>
        </w:rPr>
        <w:t>Sale Event”</w:t>
      </w:r>
      <w:r>
        <w:rPr>
          <w:rFonts w:ascii="Times New Roman" w:hAnsi="Times New Roman"/>
          <w:color w:val="000000"/>
          <w:sz w:val="20"/>
        </w:rPr>
        <w:t xml:space="preserve">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240" w:after="283"/>
        <w:jc w:val="both"/>
        <w:rPr/>
      </w:pPr>
      <w:r>
        <w:rPr>
          <w:color w:val="000000"/>
        </w:rPr>
        <w:t>“</w:t>
      </w:r>
      <w:r>
        <w:rPr>
          <w:rFonts w:ascii="Times New Roman" w:hAnsi="Times New Roman"/>
          <w:i/>
          <w:color w:val="000000"/>
          <w:sz w:val="20"/>
        </w:rPr>
        <w:t>Sale Price</w:t>
      </w:r>
      <w:r>
        <w:rPr>
          <w:rFonts w:ascii="Times New Roman" w:hAnsi="Times New Roman"/>
          <w:color w:val="000000"/>
          <w:sz w:val="20"/>
        </w:rPr>
        <w:t>” means the value as determined by the Administrator of the consideration payable, or otherwise to be received by stockholders, per share of Stock pursuant to a Sale Event.</w:t>
      </w:r>
    </w:p>
    <w:p>
      <w:pPr>
        <w:pStyle w:val="TextBody"/>
        <w:bidi w:val="0"/>
        <w:spacing w:before="240" w:after="283"/>
        <w:jc w:val="both"/>
        <w:rPr/>
      </w:pPr>
      <w:r>
        <w:rPr>
          <w:color w:val="000000"/>
        </w:rPr>
        <w:t>“</w:t>
      </w:r>
      <w:r>
        <w:rPr>
          <w:rFonts w:ascii="Times New Roman" w:hAnsi="Times New Roman"/>
          <w:i/>
          <w:color w:val="000000"/>
          <w:sz w:val="20"/>
        </w:rPr>
        <w:t>Section 409A”</w:t>
      </w:r>
      <w:r>
        <w:rPr>
          <w:rFonts w:ascii="Times New Roman" w:hAnsi="Times New Roman"/>
          <w:color w:val="000000"/>
          <w:sz w:val="20"/>
        </w:rPr>
        <w:t xml:space="preserve"> means Section 409A of the Code and the regulations and other guidance promulgated thereunder.</w:t>
      </w:r>
    </w:p>
    <w:p>
      <w:pPr>
        <w:pStyle w:val="TextBody"/>
        <w:bidi w:val="0"/>
        <w:spacing w:before="240" w:after="283"/>
        <w:jc w:val="both"/>
        <w:rPr/>
      </w:pPr>
      <w:r>
        <w:rPr>
          <w:color w:val="000000"/>
        </w:rPr>
        <w:t>“</w:t>
      </w:r>
      <w:r>
        <w:rPr>
          <w:rFonts w:ascii="Times New Roman" w:hAnsi="Times New Roman"/>
          <w:i/>
          <w:color w:val="000000"/>
          <w:sz w:val="20"/>
        </w:rPr>
        <w:t>Stock”</w:t>
      </w:r>
      <w:r>
        <w:rPr>
          <w:rFonts w:ascii="Times New Roman" w:hAnsi="Times New Roman"/>
          <w:color w:val="000000"/>
          <w:sz w:val="20"/>
        </w:rPr>
        <w:t xml:space="preserve"> means the Common Stock, par value $0.001 per share, of the Company, subject to adjustments pursuant to Section 3.</w:t>
      </w:r>
    </w:p>
    <w:p>
      <w:pPr>
        <w:pStyle w:val="TextBody"/>
        <w:bidi w:val="0"/>
        <w:spacing w:before="240" w:after="283"/>
        <w:jc w:val="both"/>
        <w:rPr/>
      </w:pPr>
      <w:r>
        <w:rPr>
          <w:color w:val="000000"/>
        </w:rPr>
        <w:t>“</w:t>
      </w:r>
      <w:r>
        <w:rPr>
          <w:rFonts w:ascii="Times New Roman" w:hAnsi="Times New Roman"/>
          <w:i/>
          <w:color w:val="000000"/>
          <w:sz w:val="20"/>
        </w:rPr>
        <w:t>Stock Appreciation Right”</w:t>
      </w:r>
      <w:r>
        <w:rPr>
          <w:rFonts w:ascii="Times New Roman" w:hAnsi="Times New Roman"/>
          <w:color w:val="000000"/>
          <w:sz w:val="20"/>
        </w:rPr>
        <w:t xml:space="preserve"> means an Award entitling the recipient to receive shares of Stock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pStyle w:val="TextBody"/>
        <w:bidi w:val="0"/>
        <w:spacing w:before="240" w:after="283"/>
        <w:jc w:val="both"/>
        <w:rPr/>
      </w:pPr>
      <w:r>
        <w:rPr>
          <w:color w:val="000000"/>
        </w:rPr>
        <w:t>“</w:t>
      </w:r>
      <w:r>
        <w:rPr>
          <w:rFonts w:ascii="Times New Roman" w:hAnsi="Times New Roman"/>
          <w:i/>
          <w:color w:val="000000"/>
          <w:sz w:val="20"/>
        </w:rPr>
        <w:t>Subsidiary”</w:t>
      </w:r>
      <w:r>
        <w:rPr>
          <w:rFonts w:ascii="Times New Roman" w:hAnsi="Times New Roman"/>
          <w:color w:val="000000"/>
          <w:sz w:val="20"/>
        </w:rPr>
        <w:t xml:space="preserve"> means any corporation or other entity (other than the Company) in which the Company has at least a 50 percent interest, either directly or indirectly.</w:t>
      </w:r>
    </w:p>
    <w:p>
      <w:pPr>
        <w:pStyle w:val="TextBody"/>
        <w:bidi w:val="0"/>
        <w:spacing w:before="240" w:after="283"/>
        <w:jc w:val="both"/>
        <w:rPr/>
      </w:pPr>
      <w:r>
        <w:rPr>
          <w:color w:val="000000"/>
        </w:rPr>
        <w:t>“</w:t>
      </w:r>
      <w:r>
        <w:rPr>
          <w:rFonts w:ascii="Times New Roman" w:hAnsi="Times New Roman"/>
          <w:i/>
          <w:color w:val="000000"/>
          <w:sz w:val="20"/>
        </w:rPr>
        <w:t>Ten Percent Owner”</w:t>
      </w:r>
      <w:r>
        <w:rPr>
          <w:rFonts w:ascii="Times New Roman" w:hAnsi="Times New Roman"/>
          <w:color w:val="000000"/>
          <w:sz w:val="20"/>
        </w:rPr>
        <w:t xml:space="preserve"> means an employee who owns or is deemed to own (by reason of the attribution rules of Section 424(d) of the Code) more than 10 percent of the combined voting power of all classes of stock of the Company or any parent or subsidiary corporation. </w:t>
      </w:r>
    </w:p>
    <w:p>
      <w:pPr>
        <w:pStyle w:val="TextBody"/>
        <w:bidi w:val="0"/>
        <w:spacing w:before="240" w:after="283"/>
        <w:jc w:val="both"/>
        <w:rPr/>
      </w:pPr>
      <w:r>
        <w:rPr>
          <w:color w:val="000000"/>
        </w:rPr>
        <w:t>“</w:t>
      </w:r>
      <w:r>
        <w:rPr>
          <w:rFonts w:ascii="Times New Roman" w:hAnsi="Times New Roman"/>
          <w:i/>
          <w:color w:val="000000"/>
          <w:sz w:val="20"/>
        </w:rPr>
        <w:t>Unrestricted Stock Award”</w:t>
      </w:r>
      <w:r>
        <w:rPr>
          <w:rFonts w:ascii="Times New Roman" w:hAnsi="Times New Roman"/>
          <w:color w:val="000000"/>
          <w:sz w:val="20"/>
        </w:rPr>
        <w:t xml:space="preserve"> means an Award of shares of Stock free of any restrictions.</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2. ADMINISTRATION OF PLAN; ADMINISTRATOR AUTHORITY TO SELECT GRANTEES AND DETERMINE AWARDS</w:t>
      </w:r>
    </w:p>
    <w:p>
      <w:pPr>
        <w:pStyle w:val="Heading2"/>
        <w:bidi w:val="0"/>
        <w:spacing w:before="120" w:after="283"/>
        <w:jc w:val="left"/>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Administration of Plan</w:t>
      </w:r>
      <w:r>
        <w:rPr>
          <w:rFonts w:ascii="Times New Roman" w:hAnsi="Times New Roman"/>
          <w:b w:val="false"/>
          <w:color w:val="000000"/>
          <w:sz w:val="20"/>
        </w:rPr>
        <w:t>. The Plan shall be administered by the Administrator.</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Powers of Administrator</w:t>
      </w:r>
      <w:r>
        <w:rPr>
          <w:rFonts w:ascii="Times New Roman" w:hAnsi="Times New Roman"/>
          <w:b w:val="false"/>
          <w:color w:val="000000"/>
          <w:sz w:val="20"/>
        </w:rPr>
        <w:t>. The Administrator shall have the power and authority to grant Awards consistent with the terms of the Plan, including the power and authority: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to select the individuals to whom Awards may from time to time be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 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 to determine the number of shares of Stock to be covered by any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(iv) 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 to accelerate at any time the exercisability or vesting of all or any portion of any Award in circumstances involving the grantee’s death, disability, retirement or termination of employment, or a change in control of the Company (including a Sale Event);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 subject to the provisions of Section 5(c), to extend at any time the period in which Stock Options may be exercised;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(vii) 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decisions and interpretations of the Administrator shall be binding on all persons, including the Company and Plan grantees.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Delegation of Authority to Grant Awards</w:t>
      </w:r>
      <w:r>
        <w:rPr>
          <w:rFonts w:ascii="Times New Roman" w:hAnsi="Times New Roman"/>
          <w:b w:val="false"/>
          <w:color w:val="000000"/>
          <w:sz w:val="20"/>
        </w:rPr>
        <w:t>. Subject to applicable law, the Administrator, in its discretion, may delegate to the Chief Executive Officer of the Company all or part of the Administrator’s authority and duties with respect to the granting of Awards to individuals who are (i) not subject to the reporting and other provisions of Section 16 of the Exchange Act and (ii) not Covered Employees.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Award Certificate</w:t>
      </w:r>
      <w:r>
        <w:rPr>
          <w:rFonts w:ascii="Times New Roman" w:hAnsi="Times New Roman"/>
          <w:b w:val="false"/>
          <w:color w:val="000000"/>
          <w:sz w:val="20"/>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(e) </w:t>
      </w:r>
      <w:r>
        <w:rPr>
          <w:rFonts w:ascii="Times New Roman" w:hAnsi="Times New Roman"/>
          <w:b w:val="false"/>
          <w:color w:val="000000"/>
          <w:sz w:val="20"/>
          <w:u w:val="single"/>
        </w:rPr>
        <w:t>Indemnification</w:t>
      </w:r>
      <w:r>
        <w:rPr>
          <w:rFonts w:ascii="Times New Roman" w:hAnsi="Times New Roman"/>
          <w:b w:val="false"/>
          <w:color w:val="000000"/>
          <w:sz w:val="20"/>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certificate of incorporation or bylaws or any directors’ and officers’ liability insurance coverage which may be in effect from time to time and/or any indemnification agreement between such individual and the Company.</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(f) </w:t>
      </w:r>
      <w:r>
        <w:rPr>
          <w:rFonts w:ascii="Times New Roman" w:hAnsi="Times New Roman"/>
          <w:b w:val="false"/>
          <w:color w:val="000000"/>
          <w:sz w:val="20"/>
          <w:u w:val="single"/>
        </w:rPr>
        <w:t>Foreign Award Recipients</w:t>
      </w:r>
      <w:r>
        <w:rPr>
          <w:rFonts w:ascii="Times New Roman" w:hAnsi="Times New Roman"/>
          <w:b w:val="false"/>
          <w:color w:val="000000"/>
          <w:sz w:val="20"/>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3. STOCK ISSUABLE UNDER THE PLAN; MERGERS; SUBSTITUTION</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Stock Issuable</w:t>
      </w:r>
      <w:r>
        <w:rPr>
          <w:rFonts w:ascii="Times New Roman" w:hAnsi="Times New Roman"/>
          <w:b w:val="false"/>
          <w:color w:val="000000"/>
          <w:sz w:val="20"/>
        </w:rPr>
        <w:t>. The maximum number of shares of Stock reserved and available for issuance under the Plan shall be 19,725,101</w:t>
      </w:r>
      <w:r>
        <w:rPr>
          <w:rFonts w:ascii="Times New Roman" w:hAnsi="Times New Roman"/>
          <w:b w:val="false"/>
          <w:color w:val="000000"/>
          <w:sz w:val="13"/>
        </w:rPr>
        <w:t>1</w:t>
      </w:r>
      <w:r>
        <w:rPr>
          <w:rFonts w:ascii="Times New Roman" w:hAnsi="Times New Roman"/>
          <w:color w:val="000000"/>
          <w:sz w:val="20"/>
        </w:rPr>
        <w:t xml:space="preserve"> </w:t>
      </w:r>
      <w:r>
        <w:rPr>
          <w:rFonts w:ascii="Times New Roman" w:hAnsi="Times New Roman"/>
          <w:b w:val="false"/>
          <w:color w:val="000000"/>
          <w:sz w:val="20"/>
        </w:rPr>
        <w:t xml:space="preserve">shares, subject to adjustment as provided in </w:t>
      </w:r>
      <w:r>
        <w:rPr>
          <w:rFonts w:ascii="Times New Roman" w:hAnsi="Times New Roman"/>
          <w:b w:val="false"/>
          <w:color w:val="000000"/>
          <w:sz w:val="20"/>
          <w:u w:val="single"/>
        </w:rPr>
        <w:t>Section 3(c)</w:t>
      </w:r>
      <w:r>
        <w:rPr>
          <w:rFonts w:ascii="Times New Roman" w:hAnsi="Times New Roman"/>
          <w:color w:val="000000"/>
          <w:sz w:val="20"/>
        </w:rPr>
        <w:t xml:space="preserve"> </w:t>
      </w:r>
      <w:r>
        <w:rPr>
          <w:rFonts w:ascii="Times New Roman" w:hAnsi="Times New Roman"/>
          <w:b w:val="false"/>
          <w:color w:val="000000"/>
          <w:sz w:val="20"/>
        </w:rPr>
        <w:t xml:space="preserve">and herein. Subject to such overall limitation, the maximum aggregate number of shares of Stock that may be issued in the form of Incentive Stock Options shall not exceed 19,725,101, subject in all cases to adjustment as provided in </w:t>
      </w:r>
      <w:r>
        <w:rPr>
          <w:rFonts w:ascii="Times New Roman" w:hAnsi="Times New Roman"/>
          <w:b w:val="false"/>
          <w:color w:val="000000"/>
          <w:sz w:val="20"/>
          <w:u w:val="single"/>
        </w:rPr>
        <w:t>Section 3(c)</w:t>
      </w:r>
      <w:r>
        <w:rPr>
          <w:rFonts w:ascii="Times New Roman" w:hAnsi="Times New Roman"/>
          <w:b w:val="false"/>
          <w:color w:val="000000"/>
          <w:sz w:val="20"/>
        </w:rPr>
        <w:t>. The shares of Stock underlying any Awards under the Plan, that are forfeited, canceled,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[Reserved]</w:t>
      </w:r>
      <w:r>
        <w:rPr>
          <w:rFonts w:ascii="Times New Roman" w:hAnsi="Times New Roman"/>
          <w:b w:val="false"/>
          <w:color w:val="000000"/>
          <w:sz w:val="20"/>
        </w:rPr>
        <w:t>.</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Changes in Stock</w:t>
      </w:r>
      <w:r>
        <w:rPr>
          <w:rFonts w:ascii="Times New Roman" w:hAnsi="Times New Roman"/>
          <w:b w:val="false"/>
          <w:color w:val="000000"/>
          <w:sz w:val="20"/>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jc w:val="both"/>
        <w:rPr>
          <w:rFonts w:ascii="Times New Roman" w:hAnsi="Times New Roman"/>
          <w:sz w:val="20"/>
        </w:rPr>
      </w:pPr>
      <w:r>
        <w:rPr>
          <w:rFonts w:ascii="Times New Roman" w:hAnsi="Times New Roman"/>
          <w:color w:val="000000"/>
          <w:sz w:val="7"/>
        </w:rPr>
        <w:t xml:space="preserve">1 </w:t>
      </w:r>
      <w:r>
        <w:rPr>
          <w:rFonts w:ascii="Times New Roman" w:hAnsi="Times New Roman"/>
          <w:color w:val="000000"/>
          <w:sz w:val="11"/>
        </w:rPr>
        <w:t xml:space="preserve">All numbers herein reflect the 1-for-14 reverse stock split (rounded down to the nearest whole share) of the Company’s issued and outstanding common stock that was effectuated as of June 28, 2019. The original maximum number of shares of Stock reserved and available for issuance under the Plan was 112,469 shares, plus on January 1, 2016 until January 1, 2019, the number of shares of Stock reserved and available for issuance under the Plan was increased by the lesser of (i) 131,428 shares of Stock (subject to adjustment as provided in </w:t>
      </w:r>
      <w:r>
        <w:rPr>
          <w:rFonts w:ascii="Times New Roman" w:hAnsi="Times New Roman"/>
          <w:color w:val="000000"/>
          <w:sz w:val="11"/>
          <w:u w:val="single"/>
        </w:rPr>
        <w:t>Section 3(c)</w:t>
      </w:r>
      <w:r>
        <w:rPr>
          <w:rFonts w:ascii="Times New Roman" w:hAnsi="Times New Roman"/>
          <w:color w:val="000000"/>
          <w:sz w:val="11"/>
        </w:rPr>
        <w:t>), (ii) four percent (4%) of the number of shares of Stock issued and outstanding on the immediately preceding December 31 and (iii) an amount as determined by the Administrator. As such, immediately prior to the amendment in March 2019, there were 488,087 shares of Stock reserved and available for issuance under the Plan (which included shares of Stock underlying the Company’s 2014 Stock Plan, as amended, that were added back into this Plan because such shares were forfeited, canceled, reacquired by the Company prior to vesting, satisfied without the issuance of Stock or otherwise terminated (other than by exercise)). The Plan was amended by the Board of Directors in March 2019 to increase the maximum number of shares of Stock reserved and available for issuance under the Plan by 71,428 shares, resulting in 559,516 shares as of March 2019, subject to approval by the Company’s stockholders. The Company’s stockholders approved such amendment to the Plan at the Company’s 2019 Annual Meeting of Stockholders held on May 8, 2019. The Plan was amended by the Board of Directors in March 2020 to increase the maximum number of shares of Stock reserved and available for issuance under the Plan by 350,000 shares, resulting in 951,945 shares as of March 2020, subject to approval by the Company’s stockholders. The Company’s stockholders approved such amendment to the Plan at the Company’s 2020 Annual Meeting of Stockholders held on May 6, 2020. The Plan was amended by the Board of Directors in March 2021 to increase the maximum number of shares of Stock reserved and available for issuance under the Plan by 750,000 shares, resulting in 1,706,439 shares as of March 2021, subject to approval by the Company’s stockholders. The Company’s stockholders approved such amendment to the Plan at the Company’s 2021 Annual Meeting of Stockholders held on April 28, 2021. The Plan was amended by the Board of Directors in March 2022 to increase the maximum number of shares of Stock reserved and available for issuance under the Plan by 2,000,000 shares, resulting in 3,709,693 shares as of March 2022, subject to approval by the Company’s stockholders. The Company’s stockholders approved such amendment to the Plan at the Company’s 2022 Annual Meeting of Stockholders held on April 26, 2022. The Plan was amended by the Board of Directors in March 2023 to increase the maximum number of shares of Stock reserved and available for issuance under the Plan by 4,000,000 shares, resulting in 7,711,868 shares as of March 2023, subject to approval by the Company’s stockholders. The Company’s stockholders approved such amendment to the Plan at the Company’s 2023 Annual Meeting of Stockholders held on May 17, 2023. The Plan was amended by the Board of Directors in February 2024 to increase the maximum number of shares of Stock reserved and available for issuance under the Plan by 3,000,000 shares, resulting in 10,713,670 shares as of March 2024, subject to approval by the Company’s stockholders. The Company’s stockholders approved such amendment to the Plan at the Company’s 2024 Annual Meeting of Stockholders held on May 22, 2024. The Plan was amended by the Board of Directors in February 2025 to increase the maximum number of shares of Stock reserved and available for issuance under the Plan by 5,000,000 shares, resulting in 15,719,300 shares as of February 2025, subject to approval by the Company’s stockholders. The Company’s stockholders approved such amendment to the Plan at the Company’s 2025 Annual Meeting of Stockholders held on May 1, 2025. The Plan was amended by the Board of Directors in February 2026 to increase the maximum number of shares of Stock reserved and available for issuance under the Plan by 4,000,000 shares, resulting in 19,725,101 shares as of February 2026, subject to approval by the Company’s stockholders. The Company’s stockholders approved such amendment to the Plan at the Company’s 2026 Annual Meeting of Stockholders held on May 11,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Mergers and Other Transactions</w:t>
      </w:r>
      <w:r>
        <w:rPr>
          <w:rFonts w:ascii="Times New Roman" w:hAnsi="Times New Roman"/>
          <w:b w:val="false"/>
          <w:color w:val="000000"/>
          <w:sz w:val="20"/>
        </w:rPr>
        <w:t>. Except as the Administrator may otherwise specify with respect to particular Awards in the relevant Award Certificate,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the Plan and all outstanding Awards hereunder will terminate at the effective time of such Sale Event. Notwithstanding the foregoing, the Administrator may in its discretion, or to the extent specified in the relevant Award Certificate, cause certain Awards to become vested and/or exercisable immediately prior to such Sale Event. In the event of such termination, (i) the Company shall have the right, but not the obligation,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right, but not the obligation, to make or provide a cash payment to the grantees holding other Awards, in exchange for cancellation thereof, an amount equal to the Sale Price multiplied by the number of shares subject to such Awards, to be paid at the time of the Sale Event or upon the later vesting of such Awards.</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4. ELIGIBILITY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Grantees under the Plan will be such full or part-time officers and other employees, Non-Employee Directors and Consultants of the Company and its Subsidiaries as are selected from time to time by the Administrator in its sole discretion.</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5. STOCK OPTIONS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Award of Stock Options</w:t>
      </w:r>
      <w:r>
        <w:rPr>
          <w:rFonts w:ascii="Times New Roman" w:hAnsi="Times New Roman"/>
          <w:b w:val="false"/>
          <w:color w:val="000000"/>
          <w:sz w:val="20"/>
        </w:rPr>
        <w:t>. The Administrator may grant Stock Options under the Plan. Any Stock Option granted under the Plan shall be in such form as the Administrator may from time to time approve.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Exercise Price</w:t>
      </w:r>
      <w:r>
        <w:rPr>
          <w:rFonts w:ascii="Times New Roman" w:hAnsi="Times New Roman"/>
          <w:b w:val="false"/>
          <w:color w:val="000000"/>
          <w:sz w:val="20"/>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Option Term</w:t>
      </w:r>
      <w:r>
        <w:rPr>
          <w:rFonts w:ascii="Times New Roman" w:hAnsi="Times New Roman"/>
          <w:b w:val="false"/>
          <w:color w:val="000000"/>
          <w:sz w:val="20"/>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Exercisability; Rights of a Stockholder</w:t>
      </w:r>
      <w:r>
        <w:rPr>
          <w:rFonts w:ascii="Times New Roman" w:hAnsi="Times New Roman"/>
          <w:b w:val="false"/>
          <w:color w:val="000000"/>
          <w:sz w:val="20"/>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(e) </w:t>
      </w:r>
      <w:r>
        <w:rPr>
          <w:rFonts w:ascii="Times New Roman" w:hAnsi="Times New Roman"/>
          <w:b w:val="false"/>
          <w:color w:val="000000"/>
          <w:sz w:val="20"/>
          <w:u w:val="single"/>
        </w:rPr>
        <w:t>Method of Exercise</w:t>
      </w:r>
      <w:r>
        <w:rPr>
          <w:rFonts w:ascii="Times New Roman" w:hAnsi="Times New Roman"/>
          <w:b w:val="false"/>
          <w:color w:val="000000"/>
          <w:sz w:val="20"/>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In cash, by certified or bank check or other instrument acceptable to the Administrator;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(ii) Through the delivery (or attestation to the ownership in accordance with such procedures as the Company may prescribe) of shares of Stock that are not then subject to restrictions under any Company plan. Such surrendered shares shall be valued at Fair Market Value on the exercise date;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(iii) 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(f) </w:t>
      </w:r>
      <w:r>
        <w:rPr>
          <w:rFonts w:ascii="Times New Roman" w:hAnsi="Times New Roman"/>
          <w:b w:val="false"/>
          <w:color w:val="000000"/>
          <w:sz w:val="20"/>
          <w:u w:val="single"/>
        </w:rPr>
        <w:t>Annual Limit on Incentive Stock Options</w:t>
      </w:r>
      <w:r>
        <w:rPr>
          <w:rFonts w:ascii="Times New Roman" w:hAnsi="Times New Roman"/>
          <w:b w:val="false"/>
          <w:color w:val="000000"/>
          <w:sz w:val="20"/>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6. STOCK APPRECIATION RIGHTS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Award of Stock Appreciation Rights</w:t>
      </w:r>
      <w:r>
        <w:rPr>
          <w:rFonts w:ascii="Times New Roman" w:hAnsi="Times New Roman"/>
          <w:b w:val="false"/>
          <w:color w:val="000000"/>
          <w:sz w:val="20"/>
        </w:rPr>
        <w:t>. The Administrator may grant Stock Appreciation Rights under the Plan. A Stock Appreciation Right is an Award entitling the recipient to receive shares of Stock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Exercise Price of Stock Appreciation Rights</w:t>
      </w:r>
      <w:r>
        <w:rPr>
          <w:rFonts w:ascii="Times New Roman" w:hAnsi="Times New Roman"/>
          <w:b w:val="false"/>
          <w:color w:val="000000"/>
          <w:sz w:val="20"/>
        </w:rPr>
        <w:t>. The exercise price of a Stock Appreciation Right shall not be less than 100 percent of the Fair Market Value of the Stock on the date of grant.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Grant and Exercise of Stock Appreciation Rights</w:t>
      </w:r>
      <w:r>
        <w:rPr>
          <w:rFonts w:ascii="Times New Roman" w:hAnsi="Times New Roman"/>
          <w:b w:val="false"/>
          <w:color w:val="000000"/>
          <w:sz w:val="20"/>
        </w:rPr>
        <w:t>. Stock Appreciation Rights may be granted by the Administrator independently of any Stock Option granted pursuant to Section 5 of the Plan.</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Terms and Conditions of Stock Appreciation Rights</w:t>
      </w:r>
      <w:r>
        <w:rPr>
          <w:rFonts w:ascii="Times New Roman" w:hAnsi="Times New Roman"/>
          <w:b w:val="false"/>
          <w:color w:val="000000"/>
          <w:sz w:val="20"/>
        </w:rPr>
        <w:t>. Stock Appreciation Rights shall be subject to such terms and conditions as shall be determined from time to time by the Administrator. The term of a Stock Appreciation Right may not exceed ten years.</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7. RESTRICTED STOCK AWARDS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Nature of Restricted Stock Awards</w:t>
      </w:r>
      <w:r>
        <w:rPr>
          <w:rFonts w:ascii="Times New Roman" w:hAnsi="Times New Roman"/>
          <w:b w:val="false"/>
          <w:color w:val="000000"/>
          <w:sz w:val="20"/>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Rights as a Stockholder</w:t>
      </w:r>
      <w:r>
        <w:rPr>
          <w:rFonts w:ascii="Times New Roman" w:hAnsi="Times New Roman"/>
          <w:b w:val="false"/>
          <w:color w:val="000000"/>
          <w:sz w:val="20"/>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Restrictions</w:t>
      </w:r>
      <w:r>
        <w:rPr>
          <w:rFonts w:ascii="Times New Roman" w:hAnsi="Times New Roman"/>
          <w:b w:val="false"/>
          <w:color w:val="000000"/>
          <w:sz w:val="20"/>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Vesting of Restricted Shares</w:t>
      </w:r>
      <w:r>
        <w:rPr>
          <w:rFonts w:ascii="Times New Roman" w:hAnsi="Times New Roman"/>
          <w:b w:val="false"/>
          <w:color w:val="000000"/>
          <w:sz w:val="20"/>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8. RESTRICTED STOCK UNITS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Nature of Restricted Stock Units</w:t>
      </w:r>
      <w:r>
        <w:rPr>
          <w:rFonts w:ascii="Times New Roman" w:hAnsi="Times New Roman"/>
          <w:b w:val="false"/>
          <w:color w:val="000000"/>
          <w:sz w:val="20"/>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Election to Receive Restricted Stock Units in Lieu of Compensation</w:t>
      </w:r>
      <w:r>
        <w:rPr>
          <w:rFonts w:ascii="Times New Roman" w:hAnsi="Times New Roman"/>
          <w:b w:val="false"/>
          <w:color w:val="000000"/>
          <w:sz w:val="20"/>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Rights as a Stockholder</w:t>
      </w:r>
      <w:r>
        <w:rPr>
          <w:rFonts w:ascii="Times New Roman" w:hAnsi="Times New Roman"/>
          <w:b w:val="false"/>
          <w:color w:val="000000"/>
          <w:sz w:val="20"/>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r>
        <w:rPr>
          <w:rFonts w:ascii="Times New Roman" w:hAnsi="Times New Roman"/>
          <w:color w:val="000000"/>
          <w:sz w:val="20"/>
        </w:rPr>
        <w:t xml:space="preserve">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Termination</w:t>
      </w:r>
      <w:r>
        <w:rPr>
          <w:rFonts w:ascii="Times New Roman" w:hAnsi="Times New Roman"/>
          <w:b w:val="false"/>
          <w:color w:val="000000"/>
          <w:sz w:val="20"/>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9. UNRESTRICTED STOCK AWARDS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Grant or Sale of Unrestricted Stock</w:t>
      </w:r>
      <w:r>
        <w:rPr>
          <w:rFonts w:ascii="Times New Roman" w:hAnsi="Times New Roman"/>
          <w:color w:val="000000"/>
          <w:sz w:val="20"/>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10. CASH-BASED AWARDS</w:t>
      </w:r>
    </w:p>
    <w:p>
      <w:pPr>
        <w:pStyle w:val="TextBody"/>
        <w:bidi w:val="0"/>
        <w:spacing w:before="120" w:after="283"/>
        <w:jc w:val="both"/>
        <w:rPr>
          <w:rFonts w:ascii="Times New Roman" w:hAnsi="Times New Roman"/>
          <w:sz w:val="20"/>
        </w:rPr>
      </w:pPr>
      <w:r>
        <w:rPr>
          <w:rFonts w:ascii="Times New Roman" w:hAnsi="Times New Roman"/>
          <w:color w:val="000000"/>
          <w:sz w:val="20"/>
          <w:u w:val="single"/>
        </w:rPr>
        <w:t>Grant of Cash-Based Awards</w:t>
      </w:r>
      <w:r>
        <w:rPr>
          <w:rFonts w:ascii="Times New Roman" w:hAnsi="Times New Roman"/>
          <w:color w:val="000000"/>
          <w:sz w:val="20"/>
        </w:rPr>
        <w:t xml:space="preserve">.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11. PERFORMANCE SHARE AWARDS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Nature of Performance Share Awards</w:t>
      </w:r>
      <w:r>
        <w:rPr>
          <w:rFonts w:ascii="Times New Roman" w:hAnsi="Times New Roman"/>
          <w:b w:val="false"/>
          <w:color w:val="000000"/>
          <w:sz w:val="20"/>
        </w:rPr>
        <w:t>. The Administrator may grant Performance Share Awards under the Plan. A Performance Share Award is an Award entitling the grantee to receive shares of Stock upon the attainment of performance goals.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Rights as a Stockholder</w:t>
      </w:r>
      <w:r>
        <w:rPr>
          <w:rFonts w:ascii="Times New Roman" w:hAnsi="Times New Roman"/>
          <w:b w:val="false"/>
          <w:color w:val="000000"/>
          <w:sz w:val="20"/>
        </w:rPr>
        <w:t>. A grantee receiving a Performance Share Award shall have the rights of a stockholder only as to shares of Stock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Termination</w:t>
      </w:r>
      <w:r>
        <w:rPr>
          <w:rFonts w:ascii="Times New Roman" w:hAnsi="Times New Roman"/>
          <w:b w:val="false"/>
          <w:color w:val="000000"/>
          <w:sz w:val="20"/>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12. PERFORMANCE-BASED AWARDS TO COVERED EMPLOYEES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Performance-Based Awards</w:t>
      </w:r>
      <w:r>
        <w:rPr>
          <w:rFonts w:ascii="Times New Roman" w:hAnsi="Times New Roman"/>
          <w:b w:val="false"/>
          <w:color w:val="000000"/>
          <w:sz w:val="20"/>
        </w:rPr>
        <w:t>. The Administrator may grant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Each Performance-Based Award shall comply with the provisions set forth below.</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Grant of Performance-Based Awards</w:t>
      </w:r>
      <w:r>
        <w:rPr>
          <w:rFonts w:ascii="Times New Roman" w:hAnsi="Times New Roman"/>
          <w:b w:val="false"/>
          <w:color w:val="000000"/>
          <w:sz w:val="20"/>
        </w:rPr>
        <w:t>. With respect to each Performance-Based Award granted to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 Performance Cycle and different Performance Goals may be applicable to Performance-Based Awards to different Covered Employees.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Payment of Performance-Based Awards</w:t>
      </w:r>
      <w:r>
        <w:rPr>
          <w:rFonts w:ascii="Times New Roman" w:hAnsi="Times New Roman"/>
          <w:b w:val="false"/>
          <w:color w:val="000000"/>
          <w:sz w:val="20"/>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13. DIVIDEND EQUIVALENT RIGHTS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Dividend Equivalent Rights</w:t>
      </w:r>
      <w:r>
        <w:rPr>
          <w:rFonts w:ascii="Times New Roman" w:hAnsi="Times New Roman"/>
          <w:b w:val="false"/>
          <w:color w:val="000000"/>
          <w:sz w:val="20"/>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Termination</w:t>
      </w:r>
      <w:r>
        <w:rPr>
          <w:rFonts w:ascii="Times New Roman" w:hAnsi="Times New Roman"/>
          <w:b w:val="false"/>
          <w:color w:val="000000"/>
          <w:sz w:val="20"/>
        </w:rPr>
        <w:t>. Except as may otherwise be provided by the Administrator either in the Award Certificate or, subject to Section 18 below, in writing after the Award is issued, a grantee’s rights in all Dividend Equivalent Rights shall automatically terminate upon the grantee’s termination of employment (or cessation of service relationship) with the Company and its Subsidiaries for any reason.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14. TRANSFERABILITY OF AWARDS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Transferability</w:t>
      </w:r>
      <w:r>
        <w:rPr>
          <w:rFonts w:ascii="Times New Roman" w:hAnsi="Times New Roman"/>
          <w:b w:val="false"/>
          <w:color w:val="000000"/>
          <w:sz w:val="20"/>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Administrator Action</w:t>
      </w:r>
      <w:r>
        <w:rPr>
          <w:rFonts w:ascii="Times New Roman" w:hAnsi="Times New Roman"/>
          <w:b w:val="false"/>
          <w:color w:val="000000"/>
          <w:sz w:val="20"/>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Family Member</w:t>
      </w:r>
      <w:r>
        <w:rPr>
          <w:rFonts w:ascii="Times New Roman" w:hAnsi="Times New Roman"/>
          <w:b w:val="false"/>
          <w:color w:val="000000"/>
          <w:sz w:val="20"/>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Designation of Beneficiary</w:t>
      </w:r>
      <w:r>
        <w:rPr>
          <w:rFonts w:ascii="Times New Roman" w:hAnsi="Times New Roman"/>
          <w:b w:val="false"/>
          <w:color w:val="000000"/>
          <w:sz w:val="20"/>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15. TAX WITHHOLDING</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Payment by Grantee</w:t>
      </w:r>
      <w:r>
        <w:rPr>
          <w:rFonts w:ascii="Times New Roman" w:hAnsi="Times New Roman"/>
          <w:b w:val="false"/>
          <w:color w:val="000000"/>
          <w:sz w:val="20"/>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Payment in Stock</w:t>
      </w:r>
      <w:r>
        <w:rPr>
          <w:rFonts w:ascii="Times New Roman" w:hAnsi="Times New Roman"/>
          <w:b w:val="false"/>
          <w:color w:val="000000"/>
          <w:sz w:val="20"/>
        </w:rPr>
        <w:t>. Subject to approval by the Administrator, a grantee may elect to have the Company’s minimum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16. SECTION 409A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17. TERMINATION OF EMPLOYMENT, TRANSFER, LEAVE OF ABSENCE, ETC.</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Termination of Employment</w:t>
      </w:r>
      <w:r>
        <w:rPr>
          <w:rFonts w:ascii="Times New Roman" w:hAnsi="Times New Roman"/>
          <w:b w:val="false"/>
          <w:color w:val="000000"/>
          <w:sz w:val="20"/>
        </w:rPr>
        <w:t>. If the grantee’s employer ceases to be a Subsidiary, the grantee shall be deemed to have terminated employment for purposes of the Plan.</w:t>
      </w:r>
      <w:r>
        <w:rPr>
          <w:rFonts w:ascii="Times New Roman" w:hAnsi="Times New Roman"/>
          <w:color w:val="000000"/>
          <w:sz w:val="20"/>
        </w:rPr>
        <w:t xml:space="preserve"> </w:t>
      </w:r>
    </w:p>
    <w:p>
      <w:pPr>
        <w:pStyle w:val="Heading2"/>
        <w:bidi w:val="0"/>
        <w:spacing w:before="120" w:after="283"/>
        <w:jc w:val="both"/>
        <w:rPr>
          <w:rFonts w:ascii="Times New Roman" w:hAnsi="Times New Roman"/>
          <w:b w:val="false"/>
          <w:color w:val="000000"/>
          <w:sz w:val="20"/>
        </w:rPr>
      </w:pPr>
      <w:r>
        <w:rPr>
          <w:rFonts w:ascii="Times New Roman" w:hAnsi="Times New Roman"/>
          <w:b w:val="false"/>
          <w:color w:val="000000"/>
          <w:sz w:val="20"/>
        </w:rPr>
        <w:t>(b) For purposes of the Plan, the following events shall not be deemed a termination of employment: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a transfer to the employment of the Company from a Subsidiary or from the Company to a Subsidiary, or from one Subsidiary to another; 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18. AMENDMENTS AND TERMINATION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 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19. STATUS OF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20. GENERAL PROVISIONS</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(a) </w:t>
      </w:r>
      <w:r>
        <w:rPr>
          <w:rFonts w:ascii="Times New Roman" w:hAnsi="Times New Roman"/>
          <w:b w:val="false"/>
          <w:color w:val="000000"/>
          <w:sz w:val="20"/>
          <w:u w:val="single"/>
        </w:rPr>
        <w:t>No Distribution</w:t>
      </w:r>
      <w:r>
        <w:rPr>
          <w:rFonts w:ascii="Times New Roman" w:hAnsi="Times New Roman"/>
          <w:b w:val="false"/>
          <w:color w:val="000000"/>
          <w:sz w:val="20"/>
        </w:rPr>
        <w:t>. The Administrator may require each person acquiring Stock pursuant to an Award to represent to and agree with the Company in writing that such person is acquiring the shares without a view to distribution thereof.</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(b) </w:t>
      </w:r>
      <w:r>
        <w:rPr>
          <w:rFonts w:ascii="Times New Roman" w:hAnsi="Times New Roman"/>
          <w:b w:val="false"/>
          <w:color w:val="000000"/>
          <w:sz w:val="20"/>
          <w:u w:val="single"/>
        </w:rPr>
        <w:t>Delivery of Stock Certificates</w:t>
      </w:r>
      <w:r>
        <w:rPr>
          <w:rFonts w:ascii="Times New Roman" w:hAnsi="Times New Roman"/>
          <w:b w:val="false"/>
          <w:color w:val="000000"/>
          <w:sz w:val="20"/>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r>
        <w:rPr>
          <w:rFonts w:ascii="Times New Roman" w:hAnsi="Times New Roman"/>
          <w:color w:val="000000"/>
          <w:sz w:val="20"/>
        </w:rPr>
        <w:t xml:space="preserve"> </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(c) </w:t>
      </w:r>
      <w:r>
        <w:rPr>
          <w:rFonts w:ascii="Times New Roman" w:hAnsi="Times New Roman"/>
          <w:b w:val="false"/>
          <w:color w:val="000000"/>
          <w:sz w:val="20"/>
          <w:u w:val="single"/>
        </w:rPr>
        <w:t>Stockholder Rights</w:t>
      </w:r>
      <w:r>
        <w:rPr>
          <w:rFonts w:ascii="Times New Roman" w:hAnsi="Times New Roman"/>
          <w:b w:val="false"/>
          <w:color w:val="000000"/>
          <w:sz w:val="20"/>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(d) </w:t>
      </w:r>
      <w:r>
        <w:rPr>
          <w:rFonts w:ascii="Times New Roman" w:hAnsi="Times New Roman"/>
          <w:b w:val="false"/>
          <w:color w:val="000000"/>
          <w:sz w:val="20"/>
          <w:u w:val="single"/>
        </w:rPr>
        <w:t>Other Compensation Arrangements; No Employment Rights</w:t>
      </w:r>
      <w:r>
        <w:rPr>
          <w:rFonts w:ascii="Times New Roman" w:hAnsi="Times New Roman"/>
          <w:b w:val="false"/>
          <w:color w:val="000000"/>
          <w:sz w:val="20"/>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(e) </w:t>
      </w:r>
      <w:r>
        <w:rPr>
          <w:rFonts w:ascii="Times New Roman" w:hAnsi="Times New Roman"/>
          <w:b w:val="false"/>
          <w:color w:val="000000"/>
          <w:sz w:val="20"/>
          <w:u w:val="single"/>
        </w:rPr>
        <w:t>Trading Policy Restrictions</w:t>
      </w:r>
      <w:r>
        <w:rPr>
          <w:rFonts w:ascii="Times New Roman" w:hAnsi="Times New Roman"/>
          <w:b w:val="false"/>
          <w:color w:val="000000"/>
          <w:sz w:val="20"/>
        </w:rPr>
        <w:t>. Option exercises and other Awards under the Plan shall be subject to the Company’s insider trading policies and procedures, as in effect from time to time.</w:t>
      </w:r>
    </w:p>
    <w:p>
      <w:pPr>
        <w:pStyle w:val="Heading2"/>
        <w:bidi w:val="0"/>
        <w:spacing w:before="120" w:after="283"/>
        <w:jc w:val="both"/>
        <w:rPr>
          <w:rFonts w:ascii="Times New Roman" w:hAnsi="Times New Roman"/>
          <w:sz w:val="20"/>
        </w:rPr>
      </w:pPr>
      <w:r>
        <w:rPr>
          <w:rFonts w:ascii="Times New Roman" w:hAnsi="Times New Roman"/>
          <w:b w:val="false"/>
          <w:color w:val="000000"/>
          <w:sz w:val="20"/>
        </w:rPr>
        <w:t xml:space="preserve">(f) </w:t>
      </w:r>
      <w:r>
        <w:rPr>
          <w:rFonts w:ascii="Times New Roman" w:hAnsi="Times New Roman"/>
          <w:b w:val="false"/>
          <w:color w:val="000000"/>
          <w:sz w:val="20"/>
          <w:u w:val="single"/>
        </w:rPr>
        <w:t>Clawback Policy</w:t>
      </w:r>
      <w:r>
        <w:rPr>
          <w:rFonts w:ascii="Times New Roman" w:hAnsi="Times New Roman"/>
          <w:b w:val="false"/>
          <w:color w:val="000000"/>
          <w:sz w:val="20"/>
        </w:rPr>
        <w:t>. Awards under the Plan shall be subject to the Company’s clawback policy, as in effect from time to time.</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21. EFFECTIVE DATE OF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Plan shall become effective upon the effectiveness of the Company’s registration statement on Form S-1 in connection with its Initial Public Offering, following stockholder approval of the Plan in accordance with applicable state law, the Company’s bylaws and certificate of incorporation, and applicable stock exchange rules or pursuant to written consent and shall continue to be effective indefinitely, or until termination by the Company. No grants of Incentive Stock Options may be made hereunder after the tenth anniversary of the date the Plan is most recently approved by the Board.</w:t>
      </w:r>
    </w:p>
    <w:p>
      <w:pPr>
        <w:pStyle w:val="Heading1"/>
        <w:bidi w:val="0"/>
        <w:spacing w:before="240" w:after="283"/>
        <w:jc w:val="both"/>
        <w:rPr>
          <w:rFonts w:ascii="Times New Roman" w:hAnsi="Times New Roman"/>
          <w:b w:val="false"/>
          <w:color w:val="000000"/>
          <w:sz w:val="20"/>
        </w:rPr>
      </w:pPr>
      <w:r>
        <w:rPr>
          <w:rFonts w:ascii="Times New Roman" w:hAnsi="Times New Roman"/>
          <w:b w:val="false"/>
          <w:color w:val="000000"/>
          <w:sz w:val="20"/>
        </w:rPr>
        <w:t>SECTION 22. GOVERNING LAW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Plan and all Awards and actions taken thereunder shall be governed by, and construed in accordance with, the laws of the State of Delaware, applied without regard to conflict of law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DATE APPROVED BY THE BOARD OF DIRECTORS: April 25, 2015</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DATE APPROVED BY THE STOCKHOLDERS: April 25, 2015</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March 4, 2019</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May 8, 2019</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March 16, 2020</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May 6, 2020</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March 5, 2021</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April 28, 2021</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March 2, 2022</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April 26, 2022</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March 6, 2023</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May 17, 2023</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February 29, 2024</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May 22, 2024</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February 26, 2025</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May 1, 2025</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BOARD OF DIRECTORS: February 20, 2026</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AMENDMENT APPROVED BY THE STOCKHOLDERS: May 11,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atyr-ex31_1.htm"/>
      <w:bookmarkStart w:id="30" w:name="ksatyrex31_1"/>
      <w:bookmarkEnd w:id="29"/>
      <w:bookmarkEnd w:id="3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Sanjay S. Shukla,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aTyr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702" w:type="dxa"/>
        <w:jc w:val="left"/>
        <w:tblInd w:w="0" w:type="dxa"/>
        <w:tblLayout w:type="fixed"/>
        <w:tblCellMar>
          <w:top w:w="28" w:type="dxa"/>
          <w:left w:w="28" w:type="dxa"/>
          <w:bottom w:w="28" w:type="dxa"/>
          <w:right w:w="28" w:type="dxa"/>
        </w:tblCellMar>
      </w:tblPr>
      <w:tblGrid>
        <w:gridCol w:w="1741"/>
        <w:gridCol w:w="3961"/>
      </w:tblGrid>
      <w:tr>
        <w:trPr/>
        <w:tc>
          <w:tcPr>
            <w:tcW w:w="1741"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S. Shukla</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Sanjay S. Shukla, M.D., M.S.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atyr-ex31_2.htm"/>
      <w:bookmarkStart w:id="32" w:name="ksatyrex31_2"/>
      <w:bookmarkEnd w:id="31"/>
      <w:bookmarkEnd w:id="3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Jill M. Broadfoot,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aTyr Pharma,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612" w:type="dxa"/>
        <w:jc w:val="left"/>
        <w:tblInd w:w="0" w:type="dxa"/>
        <w:tblLayout w:type="fixed"/>
        <w:tblCellMar>
          <w:top w:w="28" w:type="dxa"/>
          <w:left w:w="28" w:type="dxa"/>
          <w:bottom w:w="28" w:type="dxa"/>
          <w:right w:w="28" w:type="dxa"/>
        </w:tblCellMar>
      </w:tblPr>
      <w:tblGrid>
        <w:gridCol w:w="1741"/>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15, 2026</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both"/>
              <w:rPr/>
            </w:pPr>
            <w:r>
              <w:rPr/>
              <w:t> </w:t>
            </w:r>
          </w:p>
        </w:tc>
        <w:tc>
          <w:tcPr>
            <w:tcW w:w="38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atyr-ex32_1.htm"/>
      <w:bookmarkStart w:id="34" w:name="ksatyrex32_1"/>
      <w:bookmarkEnd w:id="33"/>
      <w:bookmarkEnd w:id="34"/>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aTyr Pharma, Inc. (the “Company”) for the period ended March 31, 2026, as filed with the Securities and Exchange Commission on the date hereof (the “Report”), I, Sanjay S. Shukla, President and Chief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810" w:type="dxa"/>
        <w:jc w:val="left"/>
        <w:tblInd w:w="0" w:type="dxa"/>
        <w:tblLayout w:type="fixed"/>
        <w:tblCellMar>
          <w:top w:w="28" w:type="dxa"/>
          <w:left w:w="28" w:type="dxa"/>
          <w:bottom w:w="28" w:type="dxa"/>
          <w:right w:w="28" w:type="dxa"/>
        </w:tblCellMar>
      </w:tblPr>
      <w:tblGrid>
        <w:gridCol w:w="1741"/>
        <w:gridCol w:w="4069"/>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4069"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40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Sanjay S. Shukla</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406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Sanjay S. Shukla, M.D., M.S.</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406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c>
          <w:tcPr>
            <w:tcW w:w="4069" w:type="dxa"/>
            <w:tcBorders/>
            <w:tcMar>
              <w:top w:w="0" w:type="dxa"/>
              <w:left w:w="0" w:type="dxa"/>
              <w:bottom w:w="0" w:type="dxa"/>
              <w:right w:w="0" w:type="dxa"/>
            </w:tcMar>
            <w:vAlign w:val="center"/>
          </w:tcPr>
          <w:p>
            <w:pPr>
              <w:pStyle w:val="TableContents"/>
              <w:bidi w:val="0"/>
              <w:spacing w:before="0" w:after="283"/>
              <w:ind w:left="0" w:right="0" w:firstLine="108"/>
              <w:jc w:val="left"/>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Section 1350, is not being filed for purposes of Section 18 of the Exchange Act, and is not to be incorporated by reference into any filing of the Company, whether made before or after the date hereof, regardless of any general incorporation language in such filing.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atyr-ex32_2.htm"/>
      <w:bookmarkStart w:id="36" w:name="ksatyrex32_2"/>
      <w:bookmarkEnd w:id="35"/>
      <w:bookmarkEnd w:id="36"/>
      <w:r>
        <w:rPr>
          <w:rFonts w:ascii="Times New Roman" w:hAnsi="Times New Roman"/>
          <w:b/>
          <w:color w:val="000000"/>
          <w:sz w:val="20"/>
        </w:rPr>
        <w:t>Exhibit 32.2</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aTyr Pharma, Inc. (the “Company”) for the period ended March 31, 2026, as filed with the Securities and Exchange Commission on the date hereof (the “Report”), I, Jill M. Broadfoot,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612" w:type="dxa"/>
        <w:jc w:val="left"/>
        <w:tblInd w:w="0" w:type="dxa"/>
        <w:tblLayout w:type="fixed"/>
        <w:tblCellMar>
          <w:top w:w="28" w:type="dxa"/>
          <w:left w:w="28" w:type="dxa"/>
          <w:bottom w:w="28" w:type="dxa"/>
          <w:right w:w="28" w:type="dxa"/>
        </w:tblCellMar>
      </w:tblPr>
      <w:tblGrid>
        <w:gridCol w:w="1741"/>
        <w:gridCol w:w="3871"/>
      </w:tblGrid>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3871" w:type="dxa"/>
            <w:tcBorders/>
            <w:shd w:fill="FFFFFF" w:val="cle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15, 2026</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foregoing certification is being furnished solely to accompany the Report pursuant to 18 U.S.C. Section 1350, is not being filed for purposes of Section 18 of the Exchange Act, and is not to be incorporated by reference into any filing of the Company, whether made before or after the date hereof, regardless of any general incorporation language in such filing.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39970/000095017022024724/life-ex3_1.htm" TargetMode="External"/><Relationship Id="rId3" Type="http://schemas.openxmlformats.org/officeDocument/2006/relationships/hyperlink" Target="https://www.sec.gov/Archives/edgar/data/1339970/000156459019024064/life-ex31_7.htm" TargetMode="External"/><Relationship Id="rId4" Type="http://schemas.openxmlformats.org/officeDocument/2006/relationships/hyperlink" Target="https://www.sec.gov/Archives/edgar/data/1339970/000156459020024729/life-ex33_130.htm" TargetMode="External"/><Relationship Id="rId5" Type="http://schemas.openxmlformats.org/officeDocument/2006/relationships/hyperlink" Target="https://www.sec.gov/Archives/edgar/data/1339970/000156459021023319/life-ex31_14.htm" TargetMode="External"/><Relationship Id="rId6" Type="http://schemas.openxmlformats.org/officeDocument/2006/relationships/hyperlink" Target="https://www.sec.gov/Archives/edgar/data/1339970/000156459022016548/life-ex31_8.htm" TargetMode="External"/><Relationship Id="rId7" Type="http://schemas.openxmlformats.org/officeDocument/2006/relationships/hyperlink" Target="https://www.sec.gov/Archives/edgar/data/1339970/000095017023023257/life-ex3_1.htm" TargetMode="External"/><Relationship Id="rId8" Type="http://schemas.openxmlformats.org/officeDocument/2006/relationships/hyperlink" Target="https://www.sec.gov/Archives/edgar/data/1339970/000095017022024724/life-ex3_6.htm" TargetMode="External"/><Relationship Id="rId9" Type="http://schemas.openxmlformats.org/officeDocument/2006/relationships/hyperlink" Target="https://www.sec.gov/Archives/edgar/data/1339970/000119312515148013/d819057dex41.htm" TargetMode="External"/><Relationship Id="rId10" Type="http://schemas.openxmlformats.org/officeDocument/2006/relationships/hyperlink" Target="https://www.sec.gov/Archives/edgar/data/1339970/000119312515148013/d819057dex41.htm" TargetMode="External"/><Relationship Id="rId11" Type="http://schemas.openxmlformats.org/officeDocument/2006/relationships/hyperlink" Target="https://www.sec.gov/Archives/edgar/data/1339970/000119312515148013/d819057dex41.htm" TargetMode="External"/><Relationship Id="rId12" Type="http://schemas.openxmlformats.org/officeDocument/2006/relationships/hyperlink" Target="https://www.sec.gov/Archives/edgar/data/1339970/000119312515148013/d819057dex41.htm" TargetMode="External"/><Relationship Id="rId13" Type="http://schemas.openxmlformats.org/officeDocument/2006/relationships/hyperlink" Target="https://www.sec.gov/Archives/edgar/data/1339970/000119312515148013/d819057dex41.htm" TargetMode="External"/><Relationship Id="rId14" Type="http://schemas.openxmlformats.org/officeDocument/2006/relationships/hyperlink" Target="https://www.sec.gov/Archives/edgar/data/1339970/000119312515148013/d819057dex41.htm" TargetMode="External"/><Relationship Id="rId15" Type="http://schemas.openxmlformats.org/officeDocument/2006/relationships/hyperlink" Target="https://www.sec.gov/Archives/edgar/data/1339970/000119312515148013/d819057dex4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62346</Words>
  <Characters>346630</Characters>
  <CharactersWithSpaces>408689</CharactersWithSpaces>
  <Paragraphs>4048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